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Content>
        <w:p w14:paraId="326F566F" w14:textId="77777777" w:rsidR="00231B64" w:rsidRPr="00231B64" w:rsidRDefault="0071373A" w:rsidP="00231B64">
          <w:pPr>
            <w:widowControl w:val="0"/>
            <w:tabs>
              <w:tab w:val="left" w:pos="14053"/>
            </w:tabs>
            <w:autoSpaceDE w:val="0"/>
            <w:autoSpaceDN w:val="0"/>
            <w:spacing w:after="0" w:line="240" w:lineRule="auto"/>
            <w:jc w:val="left"/>
            <w:rPr>
              <w:rFonts w:cs="Open Sans"/>
              <w:b/>
              <w:bCs/>
              <w:i/>
              <w:iCs/>
              <w:color w:val="FFFFFF" w:themeColor="background1"/>
              <w:sz w:val="28"/>
              <w:szCs w:val="28"/>
              <w:lang w:eastAsia="fr-FR"/>
            </w:rPr>
          </w:pPr>
          <w:r w:rsidRPr="00F04C54">
            <w:rPr>
              <w:rFonts w:cs="Open Sans"/>
              <w:b/>
              <w:bCs/>
              <w:i/>
              <w:iCs/>
              <w:noProof/>
              <w:color w:val="FFFFFF" w:themeColor="background1"/>
              <w:szCs w:val="28"/>
              <w:lang w:eastAsia="fr-FR"/>
              <w14:ligatures w14:val="standardContextual"/>
            </w:rPr>
            <mc:AlternateContent>
              <mc:Choice Requires="wps">
                <w:drawing>
                  <wp:anchor distT="0" distB="0" distL="114300" distR="114300" simplePos="0" relativeHeight="251658240" behindDoc="1" locked="0" layoutInCell="1" allowOverlap="1" wp14:anchorId="7069FE53" wp14:editId="28D4CF1C">
                    <wp:simplePos x="0" y="0"/>
                    <wp:positionH relativeFrom="column">
                      <wp:posOffset>-1034374</wp:posOffset>
                    </wp:positionH>
                    <wp:positionV relativeFrom="paragraph">
                      <wp:posOffset>-1156648</wp:posOffset>
                    </wp:positionV>
                    <wp:extent cx="15697200" cy="10972800"/>
                    <wp:effectExtent l="0" t="0" r="19050" b="19050"/>
                    <wp:wrapNone/>
                    <wp:docPr id="1850753633" name="Rectangle 10"/>
                    <wp:cNvGraphicFramePr/>
                    <a:graphic xmlns:a="http://schemas.openxmlformats.org/drawingml/2006/main">
                      <a:graphicData uri="http://schemas.microsoft.com/office/word/2010/wordprocessingShape">
                        <wps:wsp>
                          <wps:cNvSpPr/>
                          <wps:spPr>
                            <a:xfrm>
                              <a:off x="0" y="0"/>
                              <a:ext cx="15697200" cy="109728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6E2B4B" id="Rectangle 10" o:spid="_x0000_s1026" style="position:absolute;margin-left:-81.45pt;margin-top:-91.05pt;width:1236pt;height:12in;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" fillcolor="#4472c4 [3204]" strokecolor="#09101d [484]" strokeweight="1pt"/>
                </w:pict>
              </mc:Fallback>
            </mc:AlternateContent>
          </w:r>
          <w:r w:rsidR="00231B64" w:rsidRPr="00231B64">
            <w:rPr>
              <w:rFonts w:cs="Open Sans"/>
              <w:b/>
              <w:bCs/>
              <w:i/>
              <w:iCs/>
              <w:color w:val="FFFFFF" w:themeColor="background1"/>
              <w:sz w:val="28"/>
              <w:szCs w:val="28"/>
              <w:lang w:eastAsia="fr-FR"/>
            </w:rPr>
            <w:t>MODULE 4 – Audit fiscal et gestion de la contribution fiscale familiale</w:t>
          </w:r>
        </w:p>
        <w:p w14:paraId="3D2F466D" w14:textId="7453BF68" w:rsidR="0071373A" w:rsidRDefault="00231B64" w:rsidP="00231B64">
          <w:pPr>
            <w:widowControl w:val="0"/>
            <w:tabs>
              <w:tab w:val="left" w:pos="14053"/>
            </w:tabs>
            <w:autoSpaceDE w:val="0"/>
            <w:autoSpaceDN w:val="0"/>
            <w:spacing w:after="0" w:line="240" w:lineRule="auto"/>
            <w:jc w:val="left"/>
            <w:rPr>
              <w:rFonts w:cs="Open Sans"/>
              <w:b/>
              <w:bCs/>
              <w:i/>
              <w:iCs/>
              <w:color w:val="FFFFFF" w:themeColor="background1"/>
              <w:sz w:val="28"/>
              <w:szCs w:val="28"/>
              <w:lang w:eastAsia="fr-FR"/>
            </w:rPr>
          </w:pPr>
          <w:r w:rsidRPr="00231B64">
            <w:rPr>
              <w:rFonts w:cs="Open Sans"/>
              <w:b/>
              <w:bCs/>
              <w:i/>
              <w:iCs/>
              <w:color w:val="FFFFFF" w:themeColor="background1"/>
              <w:sz w:val="28"/>
              <w:szCs w:val="28"/>
              <w:lang w:eastAsia="fr-FR"/>
            </w:rPr>
            <w:t>Leçon 1 : L’impôt sur le revenu et les prélèvements sociaux</w:t>
          </w:r>
        </w:p>
        <w:p w14:paraId="74CB3FDD" w14:textId="77777777" w:rsidR="0071373A" w:rsidRDefault="0071373A" w:rsidP="00735B15">
          <w:pPr>
            <w:jc w:val="left"/>
            <w:rPr>
              <w:rFonts w:cs="Open Sans"/>
              <w:b/>
              <w:bCs/>
              <w:i/>
              <w:iCs/>
              <w:color w:val="FFFFFF" w:themeColor="background1"/>
              <w:sz w:val="28"/>
              <w:szCs w:val="28"/>
              <w:lang w:eastAsia="fr-FR"/>
            </w:rPr>
          </w:pPr>
        </w:p>
        <w:p w14:paraId="15ED4444" w14:textId="77777777" w:rsidR="0071373A" w:rsidRDefault="0071373A" w:rsidP="00735B15">
          <w:pPr>
            <w:jc w:val="left"/>
            <w:rPr>
              <w:rFonts w:cs="Open Sans"/>
              <w:b/>
              <w:bCs/>
              <w:i/>
              <w:iCs/>
              <w:color w:val="FFFFFF" w:themeColor="background1"/>
              <w:sz w:val="28"/>
              <w:szCs w:val="28"/>
              <w:lang w:eastAsia="fr-FR"/>
            </w:rPr>
          </w:pPr>
        </w:p>
        <w:p w14:paraId="779E042A" w14:textId="77777777" w:rsidR="0071373A" w:rsidRDefault="0071373A" w:rsidP="00735B15">
          <w:pPr>
            <w:jc w:val="left"/>
            <w:rPr>
              <w:rFonts w:cs="Open Sans"/>
              <w:b/>
              <w:bCs/>
              <w:i/>
              <w:iCs/>
              <w:color w:val="FFFFFF" w:themeColor="background1"/>
              <w:sz w:val="28"/>
              <w:szCs w:val="28"/>
              <w:lang w:eastAsia="fr-FR"/>
            </w:rPr>
          </w:pPr>
        </w:p>
        <w:p w14:paraId="5B6AE484" w14:textId="77777777" w:rsidR="0071373A" w:rsidRDefault="0071373A" w:rsidP="00735B15">
          <w:pPr>
            <w:jc w:val="left"/>
            <w:rPr>
              <w:rFonts w:cs="Open Sans"/>
              <w:b/>
              <w:bCs/>
              <w:i/>
              <w:iCs/>
              <w:color w:val="FFFFFF" w:themeColor="background1"/>
              <w:sz w:val="28"/>
              <w:szCs w:val="28"/>
              <w:lang w:eastAsia="fr-FR"/>
            </w:rPr>
          </w:pPr>
        </w:p>
        <w:p w14:paraId="1D5D4534" w14:textId="77777777" w:rsidR="0071373A" w:rsidRDefault="0071373A" w:rsidP="00735B15">
          <w:pPr>
            <w:jc w:val="left"/>
            <w:rPr>
              <w:rFonts w:cs="Open Sans"/>
              <w:b/>
              <w:bCs/>
              <w:i/>
              <w:iCs/>
              <w:color w:val="FFFFFF" w:themeColor="background1"/>
              <w:sz w:val="28"/>
              <w:szCs w:val="28"/>
              <w:lang w:eastAsia="fr-FR"/>
            </w:rPr>
          </w:pPr>
        </w:p>
        <w:p w14:paraId="61A9381A" w14:textId="77777777" w:rsidR="0071373A" w:rsidRDefault="0071373A" w:rsidP="00735B15">
          <w:pPr>
            <w:jc w:val="left"/>
            <w:rPr>
              <w:rFonts w:cs="Open Sans"/>
              <w:b/>
              <w:bCs/>
              <w:i/>
              <w:iCs/>
              <w:color w:val="FFFFFF" w:themeColor="background1"/>
              <w:sz w:val="28"/>
              <w:szCs w:val="28"/>
              <w:lang w:eastAsia="fr-FR"/>
            </w:rPr>
          </w:pPr>
        </w:p>
        <w:p w14:paraId="54F20CB1" w14:textId="77777777" w:rsidR="0071373A" w:rsidRDefault="0071373A" w:rsidP="00735B15">
          <w:pPr>
            <w:jc w:val="left"/>
            <w:rPr>
              <w:rFonts w:cs="Open Sans"/>
              <w:b/>
              <w:bCs/>
              <w:i/>
              <w:iCs/>
              <w:color w:val="FFFFFF" w:themeColor="background1"/>
              <w:sz w:val="28"/>
              <w:szCs w:val="28"/>
              <w:lang w:eastAsia="fr-FR"/>
            </w:rPr>
          </w:pPr>
        </w:p>
        <w:p w14:paraId="64DDD730" w14:textId="6A51E156" w:rsidR="0071373A" w:rsidRPr="007F6503" w:rsidRDefault="0071373A" w:rsidP="0071373A">
          <w:pPr>
            <w:widowControl w:val="0"/>
            <w:autoSpaceDE w:val="0"/>
            <w:autoSpaceDN w:val="0"/>
            <w:spacing w:after="0" w:line="240" w:lineRule="auto"/>
            <w:jc w:val="left"/>
            <w:rPr>
              <w:rFonts w:ascii="Times New Roman" w:eastAsia="Verdana" w:hAnsi="Verdana" w:cs="Verdana"/>
              <w:color w:val="FFFFFF" w:themeColor="background1"/>
              <w:sz w:val="56"/>
              <w:szCs w:val="56"/>
            </w:rPr>
          </w:pPr>
          <w:r w:rsidRPr="007F6503">
            <w:rPr>
              <w:rFonts w:cs="Open Sans"/>
              <w:b/>
              <w:bCs/>
              <w:color w:val="FFFFFF" w:themeColor="background1"/>
              <w:sz w:val="56"/>
              <w:szCs w:val="56"/>
              <w:lang w:eastAsia="fr-FR"/>
            </w:rPr>
            <w:t xml:space="preserve">Chapitre </w:t>
          </w:r>
          <w:r w:rsidR="006557D8">
            <w:rPr>
              <w:rFonts w:cs="Open Sans"/>
              <w:b/>
              <w:bCs/>
              <w:color w:val="FFFFFF" w:themeColor="background1"/>
              <w:sz w:val="56"/>
              <w:szCs w:val="56"/>
              <w:lang w:eastAsia="fr-FR"/>
            </w:rPr>
            <w:t>2</w:t>
          </w:r>
          <w:r w:rsidRPr="007F6503">
            <w:rPr>
              <w:rFonts w:cs="Open Sans"/>
              <w:b/>
              <w:bCs/>
              <w:color w:val="FFFFFF" w:themeColor="background1"/>
              <w:sz w:val="56"/>
              <w:szCs w:val="56"/>
              <w:lang w:eastAsia="fr-FR"/>
            </w:rPr>
            <w:t xml:space="preserve"> : </w:t>
          </w:r>
          <w:r w:rsidR="002B7F13">
            <w:rPr>
              <w:rFonts w:cs="Open Sans"/>
              <w:b/>
              <w:bCs/>
              <w:color w:val="FFFFFF" w:themeColor="background1"/>
              <w:sz w:val="56"/>
              <w:szCs w:val="56"/>
              <w:lang w:eastAsia="fr-FR"/>
            </w:rPr>
            <w:t>la fiscalité de l’investissement immobilier locatif</w:t>
          </w:r>
        </w:p>
        <w:p w14:paraId="43E30A0D" w14:textId="623E82FF" w:rsidR="00677448" w:rsidRDefault="00677448" w:rsidP="00735B15">
          <w:pPr>
            <w:jc w:val="left"/>
            <w:rPr>
              <w:lang w:eastAsia="fr-FR"/>
            </w:rPr>
          </w:pPr>
          <w:r>
            <w:rPr>
              <w:b/>
              <w:bCs/>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6FEDCC51" w14:textId="7815E1CA" w:rsidR="003667DE" w:rsidRDefault="00B8067C">
          <w:pPr>
            <w:pStyle w:val="TM1"/>
            <w:tabs>
              <w:tab w:val="left" w:pos="480"/>
              <w:tab w:val="right" w:leader="dot" w:pos="20921"/>
            </w:tabs>
            <w:rPr>
              <w:rFonts w:asciiTheme="minorHAnsi" w:eastAsiaTheme="minorEastAsia" w:hAnsiTheme="minorHAnsi"/>
              <w:noProof/>
              <w:kern w:val="2"/>
              <w:szCs w:val="24"/>
              <w:lang w:val="en-US"/>
              <w14:ligatures w14:val="standardContextual"/>
            </w:rPr>
          </w:pPr>
          <w:r>
            <w:fldChar w:fldCharType="begin"/>
          </w:r>
          <w:r>
            <w:instrText xml:space="preserve"> TOC \o "1-3" \h \z \u </w:instrText>
          </w:r>
          <w:r>
            <w:fldChar w:fldCharType="separate"/>
          </w:r>
          <w:hyperlink w:anchor="_Toc207194602" w:history="1">
            <w:r w:rsidR="003667DE" w:rsidRPr="001D1925">
              <w:rPr>
                <w:rStyle w:val="Lienhypertexte"/>
                <w:noProof/>
              </w:rPr>
              <w:t>I.</w:t>
            </w:r>
            <w:r w:rsidR="003667DE">
              <w:rPr>
                <w:rFonts w:asciiTheme="minorHAnsi" w:eastAsiaTheme="minorEastAsia" w:hAnsiTheme="minorHAnsi"/>
                <w:noProof/>
                <w:kern w:val="2"/>
                <w:szCs w:val="24"/>
                <w:lang w:val="en-US"/>
                <w14:ligatures w14:val="standardContextual"/>
              </w:rPr>
              <w:tab/>
            </w:r>
            <w:r w:rsidR="003667DE" w:rsidRPr="001D1925">
              <w:rPr>
                <w:rStyle w:val="Lienhypertexte"/>
                <w:noProof/>
              </w:rPr>
              <w:t>Taxation de l’acquisition</w:t>
            </w:r>
            <w:r w:rsidR="003667DE">
              <w:rPr>
                <w:noProof/>
                <w:webHidden/>
              </w:rPr>
              <w:tab/>
            </w:r>
            <w:r w:rsidR="003667DE">
              <w:rPr>
                <w:noProof/>
                <w:webHidden/>
              </w:rPr>
              <w:fldChar w:fldCharType="begin"/>
            </w:r>
            <w:r w:rsidR="003667DE">
              <w:rPr>
                <w:noProof/>
                <w:webHidden/>
              </w:rPr>
              <w:instrText xml:space="preserve"> PAGEREF _Toc207194602 \h </w:instrText>
            </w:r>
            <w:r w:rsidR="003667DE">
              <w:rPr>
                <w:noProof/>
                <w:webHidden/>
              </w:rPr>
            </w:r>
            <w:r w:rsidR="003667DE">
              <w:rPr>
                <w:noProof/>
                <w:webHidden/>
              </w:rPr>
              <w:fldChar w:fldCharType="separate"/>
            </w:r>
            <w:r w:rsidR="003667DE">
              <w:rPr>
                <w:noProof/>
                <w:webHidden/>
              </w:rPr>
              <w:t>3</w:t>
            </w:r>
            <w:r w:rsidR="003667DE">
              <w:rPr>
                <w:noProof/>
                <w:webHidden/>
              </w:rPr>
              <w:fldChar w:fldCharType="end"/>
            </w:r>
          </w:hyperlink>
        </w:p>
        <w:p w14:paraId="10C430A5" w14:textId="33EE570D"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03" w:history="1">
            <w:r w:rsidRPr="001D1925">
              <w:rPr>
                <w:rStyle w:val="Lienhypertexte"/>
                <w:noProof/>
              </w:rPr>
              <w:t>1.</w:t>
            </w:r>
            <w:r>
              <w:rPr>
                <w:rFonts w:asciiTheme="minorHAnsi" w:eastAsiaTheme="minorEastAsia" w:hAnsiTheme="minorHAnsi"/>
                <w:noProof/>
                <w:kern w:val="2"/>
                <w:szCs w:val="24"/>
                <w:lang w:val="en-US"/>
                <w14:ligatures w14:val="standardContextual"/>
              </w:rPr>
              <w:tab/>
            </w:r>
            <w:r w:rsidRPr="001D1925">
              <w:rPr>
                <w:rStyle w:val="Lienhypertexte"/>
                <w:noProof/>
              </w:rPr>
              <w:t>La TVA immobilière</w:t>
            </w:r>
            <w:r>
              <w:rPr>
                <w:noProof/>
                <w:webHidden/>
              </w:rPr>
              <w:tab/>
            </w:r>
            <w:r>
              <w:rPr>
                <w:noProof/>
                <w:webHidden/>
              </w:rPr>
              <w:fldChar w:fldCharType="begin"/>
            </w:r>
            <w:r>
              <w:rPr>
                <w:noProof/>
                <w:webHidden/>
              </w:rPr>
              <w:instrText xml:space="preserve"> PAGEREF _Toc207194603 \h </w:instrText>
            </w:r>
            <w:r>
              <w:rPr>
                <w:noProof/>
                <w:webHidden/>
              </w:rPr>
            </w:r>
            <w:r>
              <w:rPr>
                <w:noProof/>
                <w:webHidden/>
              </w:rPr>
              <w:fldChar w:fldCharType="separate"/>
            </w:r>
            <w:r>
              <w:rPr>
                <w:noProof/>
                <w:webHidden/>
              </w:rPr>
              <w:t>4</w:t>
            </w:r>
            <w:r>
              <w:rPr>
                <w:noProof/>
                <w:webHidden/>
              </w:rPr>
              <w:fldChar w:fldCharType="end"/>
            </w:r>
          </w:hyperlink>
        </w:p>
        <w:p w14:paraId="518AEF19" w14:textId="47F107EE"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04" w:history="1">
            <w:r w:rsidRPr="001D1925">
              <w:rPr>
                <w:rStyle w:val="Lienhypertexte"/>
                <w:noProof/>
              </w:rPr>
              <w:t>2.</w:t>
            </w:r>
            <w:r>
              <w:rPr>
                <w:rFonts w:asciiTheme="minorHAnsi" w:eastAsiaTheme="minorEastAsia" w:hAnsiTheme="minorHAnsi"/>
                <w:noProof/>
                <w:kern w:val="2"/>
                <w:szCs w:val="24"/>
                <w:lang w:val="en-US"/>
                <w14:ligatures w14:val="standardContextual"/>
              </w:rPr>
              <w:tab/>
            </w:r>
            <w:r w:rsidRPr="001D1925">
              <w:rPr>
                <w:rStyle w:val="Lienhypertexte"/>
                <w:noProof/>
              </w:rPr>
              <w:t>TVA immobilière et vente d’un logement neuf</w:t>
            </w:r>
            <w:r>
              <w:rPr>
                <w:noProof/>
                <w:webHidden/>
              </w:rPr>
              <w:tab/>
            </w:r>
            <w:r>
              <w:rPr>
                <w:noProof/>
                <w:webHidden/>
              </w:rPr>
              <w:fldChar w:fldCharType="begin"/>
            </w:r>
            <w:r>
              <w:rPr>
                <w:noProof/>
                <w:webHidden/>
              </w:rPr>
              <w:instrText xml:space="preserve"> PAGEREF _Toc207194604 \h </w:instrText>
            </w:r>
            <w:r>
              <w:rPr>
                <w:noProof/>
                <w:webHidden/>
              </w:rPr>
            </w:r>
            <w:r>
              <w:rPr>
                <w:noProof/>
                <w:webHidden/>
              </w:rPr>
              <w:fldChar w:fldCharType="separate"/>
            </w:r>
            <w:r>
              <w:rPr>
                <w:noProof/>
                <w:webHidden/>
              </w:rPr>
              <w:t>4</w:t>
            </w:r>
            <w:r>
              <w:rPr>
                <w:noProof/>
                <w:webHidden/>
              </w:rPr>
              <w:fldChar w:fldCharType="end"/>
            </w:r>
          </w:hyperlink>
        </w:p>
        <w:p w14:paraId="5A038505" w14:textId="596BAF9B" w:rsidR="003667DE" w:rsidRDefault="003667DE">
          <w:pPr>
            <w:pStyle w:val="TM3"/>
            <w:rPr>
              <w:rFonts w:asciiTheme="minorHAnsi" w:eastAsiaTheme="minorEastAsia" w:hAnsiTheme="minorHAnsi"/>
              <w:noProof/>
              <w:kern w:val="2"/>
              <w:szCs w:val="24"/>
              <w:lang w:val="en-US"/>
              <w14:ligatures w14:val="standardContextual"/>
            </w:rPr>
          </w:pPr>
          <w:hyperlink w:anchor="_Toc207194605" w:history="1">
            <w:r w:rsidRPr="001D1925">
              <w:rPr>
                <w:rStyle w:val="Lienhypertexte"/>
                <w:noProof/>
              </w:rPr>
              <w:t>A.</w:t>
            </w:r>
            <w:r>
              <w:rPr>
                <w:rFonts w:asciiTheme="minorHAnsi" w:eastAsiaTheme="minorEastAsia" w:hAnsiTheme="minorHAnsi"/>
                <w:noProof/>
                <w:kern w:val="2"/>
                <w:szCs w:val="24"/>
                <w:lang w:val="en-US"/>
                <w14:ligatures w14:val="standardContextual"/>
              </w:rPr>
              <w:tab/>
            </w:r>
            <w:r w:rsidRPr="001D1925">
              <w:rPr>
                <w:rStyle w:val="Lienhypertexte"/>
                <w:noProof/>
              </w:rPr>
              <w:t>Immeubles anciens</w:t>
            </w:r>
            <w:r>
              <w:rPr>
                <w:noProof/>
                <w:webHidden/>
              </w:rPr>
              <w:tab/>
            </w:r>
            <w:r>
              <w:rPr>
                <w:noProof/>
                <w:webHidden/>
              </w:rPr>
              <w:fldChar w:fldCharType="begin"/>
            </w:r>
            <w:r>
              <w:rPr>
                <w:noProof/>
                <w:webHidden/>
              </w:rPr>
              <w:instrText xml:space="preserve"> PAGEREF _Toc207194605 \h </w:instrText>
            </w:r>
            <w:r>
              <w:rPr>
                <w:noProof/>
                <w:webHidden/>
              </w:rPr>
            </w:r>
            <w:r>
              <w:rPr>
                <w:noProof/>
                <w:webHidden/>
              </w:rPr>
              <w:fldChar w:fldCharType="separate"/>
            </w:r>
            <w:r>
              <w:rPr>
                <w:noProof/>
                <w:webHidden/>
              </w:rPr>
              <w:t>4</w:t>
            </w:r>
            <w:r>
              <w:rPr>
                <w:noProof/>
                <w:webHidden/>
              </w:rPr>
              <w:fldChar w:fldCharType="end"/>
            </w:r>
          </w:hyperlink>
        </w:p>
        <w:p w14:paraId="54130315" w14:textId="1A15E0C5" w:rsidR="003667DE" w:rsidRDefault="003667DE">
          <w:pPr>
            <w:pStyle w:val="TM3"/>
            <w:rPr>
              <w:rFonts w:asciiTheme="minorHAnsi" w:eastAsiaTheme="minorEastAsia" w:hAnsiTheme="minorHAnsi"/>
              <w:noProof/>
              <w:kern w:val="2"/>
              <w:szCs w:val="24"/>
              <w:lang w:val="en-US"/>
              <w14:ligatures w14:val="standardContextual"/>
            </w:rPr>
          </w:pPr>
          <w:hyperlink w:anchor="_Toc207194606" w:history="1">
            <w:r w:rsidRPr="001D1925">
              <w:rPr>
                <w:rStyle w:val="Lienhypertexte"/>
                <w:noProof/>
              </w:rPr>
              <w:t>B.</w:t>
            </w:r>
            <w:r>
              <w:rPr>
                <w:rFonts w:asciiTheme="minorHAnsi" w:eastAsiaTheme="minorEastAsia" w:hAnsiTheme="minorHAnsi"/>
                <w:noProof/>
                <w:kern w:val="2"/>
                <w:szCs w:val="24"/>
                <w:lang w:val="en-US"/>
                <w14:ligatures w14:val="standardContextual"/>
              </w:rPr>
              <w:tab/>
            </w:r>
            <w:r w:rsidRPr="001D1925">
              <w:rPr>
                <w:rStyle w:val="Lienhypertexte"/>
                <w:noProof/>
              </w:rPr>
              <w:t>Immeubles neufs</w:t>
            </w:r>
            <w:r>
              <w:rPr>
                <w:noProof/>
                <w:webHidden/>
              </w:rPr>
              <w:tab/>
            </w:r>
            <w:r>
              <w:rPr>
                <w:noProof/>
                <w:webHidden/>
              </w:rPr>
              <w:fldChar w:fldCharType="begin"/>
            </w:r>
            <w:r>
              <w:rPr>
                <w:noProof/>
                <w:webHidden/>
              </w:rPr>
              <w:instrText xml:space="preserve"> PAGEREF _Toc207194606 \h </w:instrText>
            </w:r>
            <w:r>
              <w:rPr>
                <w:noProof/>
                <w:webHidden/>
              </w:rPr>
            </w:r>
            <w:r>
              <w:rPr>
                <w:noProof/>
                <w:webHidden/>
              </w:rPr>
              <w:fldChar w:fldCharType="separate"/>
            </w:r>
            <w:r>
              <w:rPr>
                <w:noProof/>
                <w:webHidden/>
              </w:rPr>
              <w:t>4</w:t>
            </w:r>
            <w:r>
              <w:rPr>
                <w:noProof/>
                <w:webHidden/>
              </w:rPr>
              <w:fldChar w:fldCharType="end"/>
            </w:r>
          </w:hyperlink>
        </w:p>
        <w:p w14:paraId="786A168A" w14:textId="02DD64D7"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07" w:history="1">
            <w:r w:rsidRPr="001D1925">
              <w:rPr>
                <w:rStyle w:val="Lienhypertexte"/>
                <w:noProof/>
              </w:rPr>
              <w:t>3.</w:t>
            </w:r>
            <w:r>
              <w:rPr>
                <w:rFonts w:asciiTheme="minorHAnsi" w:eastAsiaTheme="minorEastAsia" w:hAnsiTheme="minorHAnsi"/>
                <w:noProof/>
                <w:kern w:val="2"/>
                <w:szCs w:val="24"/>
                <w:lang w:val="en-US"/>
                <w14:ligatures w14:val="standardContextual"/>
              </w:rPr>
              <w:tab/>
            </w:r>
            <w:r w:rsidRPr="001D1925">
              <w:rPr>
                <w:rStyle w:val="Lienhypertexte"/>
                <w:noProof/>
              </w:rPr>
              <w:t>TVA immobilière et vente d’un terrain à bâtir</w:t>
            </w:r>
            <w:r>
              <w:rPr>
                <w:noProof/>
                <w:webHidden/>
              </w:rPr>
              <w:tab/>
            </w:r>
            <w:r>
              <w:rPr>
                <w:noProof/>
                <w:webHidden/>
              </w:rPr>
              <w:fldChar w:fldCharType="begin"/>
            </w:r>
            <w:r>
              <w:rPr>
                <w:noProof/>
                <w:webHidden/>
              </w:rPr>
              <w:instrText xml:space="preserve"> PAGEREF _Toc207194607 \h </w:instrText>
            </w:r>
            <w:r>
              <w:rPr>
                <w:noProof/>
                <w:webHidden/>
              </w:rPr>
            </w:r>
            <w:r>
              <w:rPr>
                <w:noProof/>
                <w:webHidden/>
              </w:rPr>
              <w:fldChar w:fldCharType="separate"/>
            </w:r>
            <w:r>
              <w:rPr>
                <w:noProof/>
                <w:webHidden/>
              </w:rPr>
              <w:t>4</w:t>
            </w:r>
            <w:r>
              <w:rPr>
                <w:noProof/>
                <w:webHidden/>
              </w:rPr>
              <w:fldChar w:fldCharType="end"/>
            </w:r>
          </w:hyperlink>
        </w:p>
        <w:p w14:paraId="18EFAB24" w14:textId="736E4F44" w:rsidR="003667DE" w:rsidRDefault="003667DE">
          <w:pPr>
            <w:pStyle w:val="TM3"/>
            <w:rPr>
              <w:rFonts w:asciiTheme="minorHAnsi" w:eastAsiaTheme="minorEastAsia" w:hAnsiTheme="minorHAnsi"/>
              <w:noProof/>
              <w:kern w:val="2"/>
              <w:szCs w:val="24"/>
              <w:lang w:val="en-US"/>
              <w14:ligatures w14:val="standardContextual"/>
            </w:rPr>
          </w:pPr>
          <w:hyperlink w:anchor="_Toc207194608" w:history="1">
            <w:r w:rsidRPr="001D1925">
              <w:rPr>
                <w:rStyle w:val="Lienhypertexte"/>
                <w:noProof/>
              </w:rPr>
              <w:t>A.</w:t>
            </w:r>
            <w:r>
              <w:rPr>
                <w:rFonts w:asciiTheme="minorHAnsi" w:eastAsiaTheme="minorEastAsia" w:hAnsiTheme="minorHAnsi"/>
                <w:noProof/>
                <w:kern w:val="2"/>
                <w:szCs w:val="24"/>
                <w:lang w:val="en-US"/>
                <w14:ligatures w14:val="standardContextual"/>
              </w:rPr>
              <w:tab/>
            </w:r>
            <w:r w:rsidRPr="001D1925">
              <w:rPr>
                <w:rStyle w:val="Lienhypertexte"/>
                <w:noProof/>
              </w:rPr>
              <w:t>Les cessions entre particuliers :</w:t>
            </w:r>
            <w:r>
              <w:rPr>
                <w:noProof/>
                <w:webHidden/>
              </w:rPr>
              <w:tab/>
            </w:r>
            <w:r>
              <w:rPr>
                <w:noProof/>
                <w:webHidden/>
              </w:rPr>
              <w:fldChar w:fldCharType="begin"/>
            </w:r>
            <w:r>
              <w:rPr>
                <w:noProof/>
                <w:webHidden/>
              </w:rPr>
              <w:instrText xml:space="preserve"> PAGEREF _Toc207194608 \h </w:instrText>
            </w:r>
            <w:r>
              <w:rPr>
                <w:noProof/>
                <w:webHidden/>
              </w:rPr>
            </w:r>
            <w:r>
              <w:rPr>
                <w:noProof/>
                <w:webHidden/>
              </w:rPr>
              <w:fldChar w:fldCharType="separate"/>
            </w:r>
            <w:r>
              <w:rPr>
                <w:noProof/>
                <w:webHidden/>
              </w:rPr>
              <w:t>4</w:t>
            </w:r>
            <w:r>
              <w:rPr>
                <w:noProof/>
                <w:webHidden/>
              </w:rPr>
              <w:fldChar w:fldCharType="end"/>
            </w:r>
          </w:hyperlink>
        </w:p>
        <w:p w14:paraId="3D85330F" w14:textId="666E81D0" w:rsidR="003667DE" w:rsidRDefault="003667DE">
          <w:pPr>
            <w:pStyle w:val="TM3"/>
            <w:rPr>
              <w:rFonts w:asciiTheme="minorHAnsi" w:eastAsiaTheme="minorEastAsia" w:hAnsiTheme="minorHAnsi"/>
              <w:noProof/>
              <w:kern w:val="2"/>
              <w:szCs w:val="24"/>
              <w:lang w:val="en-US"/>
              <w14:ligatures w14:val="standardContextual"/>
            </w:rPr>
          </w:pPr>
          <w:hyperlink w:anchor="_Toc207194609" w:history="1">
            <w:r w:rsidRPr="001D1925">
              <w:rPr>
                <w:rStyle w:val="Lienhypertexte"/>
                <w:noProof/>
              </w:rPr>
              <w:t>B.</w:t>
            </w:r>
            <w:r>
              <w:rPr>
                <w:rFonts w:asciiTheme="minorHAnsi" w:eastAsiaTheme="minorEastAsia" w:hAnsiTheme="minorHAnsi"/>
                <w:noProof/>
                <w:kern w:val="2"/>
                <w:szCs w:val="24"/>
                <w:lang w:val="en-US"/>
                <w14:ligatures w14:val="standardContextual"/>
              </w:rPr>
              <w:tab/>
            </w:r>
            <w:r w:rsidRPr="001D1925">
              <w:rPr>
                <w:rStyle w:val="Lienhypertexte"/>
                <w:noProof/>
              </w:rPr>
              <w:t>Les terrains vendus par un professionnel :</w:t>
            </w:r>
            <w:r>
              <w:rPr>
                <w:noProof/>
                <w:webHidden/>
              </w:rPr>
              <w:tab/>
            </w:r>
            <w:r>
              <w:rPr>
                <w:noProof/>
                <w:webHidden/>
              </w:rPr>
              <w:fldChar w:fldCharType="begin"/>
            </w:r>
            <w:r>
              <w:rPr>
                <w:noProof/>
                <w:webHidden/>
              </w:rPr>
              <w:instrText xml:space="preserve"> PAGEREF _Toc207194609 \h </w:instrText>
            </w:r>
            <w:r>
              <w:rPr>
                <w:noProof/>
                <w:webHidden/>
              </w:rPr>
            </w:r>
            <w:r>
              <w:rPr>
                <w:noProof/>
                <w:webHidden/>
              </w:rPr>
              <w:fldChar w:fldCharType="separate"/>
            </w:r>
            <w:r>
              <w:rPr>
                <w:noProof/>
                <w:webHidden/>
              </w:rPr>
              <w:t>5</w:t>
            </w:r>
            <w:r>
              <w:rPr>
                <w:noProof/>
                <w:webHidden/>
              </w:rPr>
              <w:fldChar w:fldCharType="end"/>
            </w:r>
          </w:hyperlink>
        </w:p>
        <w:p w14:paraId="3A049C05" w14:textId="444E35CA"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10" w:history="1">
            <w:r w:rsidRPr="001D1925">
              <w:rPr>
                <w:rStyle w:val="Lienhypertexte"/>
                <w:noProof/>
              </w:rPr>
              <w:t>4.</w:t>
            </w:r>
            <w:r>
              <w:rPr>
                <w:rFonts w:asciiTheme="minorHAnsi" w:eastAsiaTheme="minorEastAsia" w:hAnsiTheme="minorHAnsi"/>
                <w:noProof/>
                <w:kern w:val="2"/>
                <w:szCs w:val="24"/>
                <w:lang w:val="en-US"/>
                <w14:ligatures w14:val="standardContextual"/>
              </w:rPr>
              <w:tab/>
            </w:r>
            <w:r w:rsidRPr="001D1925">
              <w:rPr>
                <w:rStyle w:val="Lienhypertexte"/>
                <w:noProof/>
              </w:rPr>
              <w:t>Les droits d’enregistrement</w:t>
            </w:r>
            <w:r>
              <w:rPr>
                <w:noProof/>
                <w:webHidden/>
              </w:rPr>
              <w:tab/>
            </w:r>
            <w:r>
              <w:rPr>
                <w:noProof/>
                <w:webHidden/>
              </w:rPr>
              <w:fldChar w:fldCharType="begin"/>
            </w:r>
            <w:r>
              <w:rPr>
                <w:noProof/>
                <w:webHidden/>
              </w:rPr>
              <w:instrText xml:space="preserve"> PAGEREF _Toc207194610 \h </w:instrText>
            </w:r>
            <w:r>
              <w:rPr>
                <w:noProof/>
                <w:webHidden/>
              </w:rPr>
            </w:r>
            <w:r>
              <w:rPr>
                <w:noProof/>
                <w:webHidden/>
              </w:rPr>
              <w:fldChar w:fldCharType="separate"/>
            </w:r>
            <w:r>
              <w:rPr>
                <w:noProof/>
                <w:webHidden/>
              </w:rPr>
              <w:t>5</w:t>
            </w:r>
            <w:r>
              <w:rPr>
                <w:noProof/>
                <w:webHidden/>
              </w:rPr>
              <w:fldChar w:fldCharType="end"/>
            </w:r>
          </w:hyperlink>
        </w:p>
        <w:p w14:paraId="5DE22FED" w14:textId="477DF7ED"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11" w:history="1">
            <w:r w:rsidRPr="001D1925">
              <w:rPr>
                <w:rStyle w:val="Lienhypertexte"/>
                <w:noProof/>
              </w:rPr>
              <w:t>5.</w:t>
            </w:r>
            <w:r>
              <w:rPr>
                <w:rFonts w:asciiTheme="minorHAnsi" w:eastAsiaTheme="minorEastAsia" w:hAnsiTheme="minorHAnsi"/>
                <w:noProof/>
                <w:kern w:val="2"/>
                <w:szCs w:val="24"/>
                <w:lang w:val="en-US"/>
                <w14:ligatures w14:val="standardContextual"/>
              </w:rPr>
              <w:tab/>
            </w:r>
            <w:r w:rsidRPr="001D1925">
              <w:rPr>
                <w:rStyle w:val="Lienhypertexte"/>
                <w:noProof/>
              </w:rPr>
              <w:t>Les opérations soumises aux droits d’enregistrement</w:t>
            </w:r>
            <w:r>
              <w:rPr>
                <w:noProof/>
                <w:webHidden/>
              </w:rPr>
              <w:tab/>
            </w:r>
            <w:r>
              <w:rPr>
                <w:noProof/>
                <w:webHidden/>
              </w:rPr>
              <w:fldChar w:fldCharType="begin"/>
            </w:r>
            <w:r>
              <w:rPr>
                <w:noProof/>
                <w:webHidden/>
              </w:rPr>
              <w:instrText xml:space="preserve"> PAGEREF _Toc207194611 \h </w:instrText>
            </w:r>
            <w:r>
              <w:rPr>
                <w:noProof/>
                <w:webHidden/>
              </w:rPr>
            </w:r>
            <w:r>
              <w:rPr>
                <w:noProof/>
                <w:webHidden/>
              </w:rPr>
              <w:fldChar w:fldCharType="separate"/>
            </w:r>
            <w:r>
              <w:rPr>
                <w:noProof/>
                <w:webHidden/>
              </w:rPr>
              <w:t>6</w:t>
            </w:r>
            <w:r>
              <w:rPr>
                <w:noProof/>
                <w:webHidden/>
              </w:rPr>
              <w:fldChar w:fldCharType="end"/>
            </w:r>
          </w:hyperlink>
        </w:p>
        <w:p w14:paraId="49557535" w14:textId="1311E987"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12" w:history="1">
            <w:r w:rsidRPr="001D1925">
              <w:rPr>
                <w:rStyle w:val="Lienhypertexte"/>
                <w:noProof/>
              </w:rPr>
              <w:t>6.</w:t>
            </w:r>
            <w:r>
              <w:rPr>
                <w:rFonts w:asciiTheme="minorHAnsi" w:eastAsiaTheme="minorEastAsia" w:hAnsiTheme="minorHAnsi"/>
                <w:noProof/>
                <w:kern w:val="2"/>
                <w:szCs w:val="24"/>
                <w:lang w:val="en-US"/>
                <w14:ligatures w14:val="standardContextual"/>
              </w:rPr>
              <w:tab/>
            </w:r>
            <w:r w:rsidRPr="001D1925">
              <w:rPr>
                <w:rStyle w:val="Lienhypertexte"/>
                <w:noProof/>
              </w:rPr>
              <w:t>Le droit de vente d’immeuble</w:t>
            </w:r>
            <w:r>
              <w:rPr>
                <w:noProof/>
                <w:webHidden/>
              </w:rPr>
              <w:tab/>
            </w:r>
            <w:r>
              <w:rPr>
                <w:noProof/>
                <w:webHidden/>
              </w:rPr>
              <w:fldChar w:fldCharType="begin"/>
            </w:r>
            <w:r>
              <w:rPr>
                <w:noProof/>
                <w:webHidden/>
              </w:rPr>
              <w:instrText xml:space="preserve"> PAGEREF _Toc207194612 \h </w:instrText>
            </w:r>
            <w:r>
              <w:rPr>
                <w:noProof/>
                <w:webHidden/>
              </w:rPr>
            </w:r>
            <w:r>
              <w:rPr>
                <w:noProof/>
                <w:webHidden/>
              </w:rPr>
              <w:fldChar w:fldCharType="separate"/>
            </w:r>
            <w:r>
              <w:rPr>
                <w:noProof/>
                <w:webHidden/>
              </w:rPr>
              <w:t>6</w:t>
            </w:r>
            <w:r>
              <w:rPr>
                <w:noProof/>
                <w:webHidden/>
              </w:rPr>
              <w:fldChar w:fldCharType="end"/>
            </w:r>
          </w:hyperlink>
        </w:p>
        <w:p w14:paraId="6E7E517C" w14:textId="63913AB3"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13" w:history="1">
            <w:r w:rsidRPr="001D1925">
              <w:rPr>
                <w:rStyle w:val="Lienhypertexte"/>
                <w:noProof/>
              </w:rPr>
              <w:t>7.</w:t>
            </w:r>
            <w:r>
              <w:rPr>
                <w:rFonts w:asciiTheme="minorHAnsi" w:eastAsiaTheme="minorEastAsia" w:hAnsiTheme="minorHAnsi"/>
                <w:noProof/>
                <w:kern w:val="2"/>
                <w:szCs w:val="24"/>
                <w:lang w:val="en-US"/>
                <w14:ligatures w14:val="standardContextual"/>
              </w:rPr>
              <w:tab/>
            </w:r>
            <w:r w:rsidRPr="001D1925">
              <w:rPr>
                <w:rStyle w:val="Lienhypertexte"/>
                <w:noProof/>
              </w:rPr>
              <w:t>La publicité foncière</w:t>
            </w:r>
            <w:r>
              <w:rPr>
                <w:noProof/>
                <w:webHidden/>
              </w:rPr>
              <w:tab/>
            </w:r>
            <w:r>
              <w:rPr>
                <w:noProof/>
                <w:webHidden/>
              </w:rPr>
              <w:fldChar w:fldCharType="begin"/>
            </w:r>
            <w:r>
              <w:rPr>
                <w:noProof/>
                <w:webHidden/>
              </w:rPr>
              <w:instrText xml:space="preserve"> PAGEREF _Toc207194613 \h </w:instrText>
            </w:r>
            <w:r>
              <w:rPr>
                <w:noProof/>
                <w:webHidden/>
              </w:rPr>
            </w:r>
            <w:r>
              <w:rPr>
                <w:noProof/>
                <w:webHidden/>
              </w:rPr>
              <w:fldChar w:fldCharType="separate"/>
            </w:r>
            <w:r>
              <w:rPr>
                <w:noProof/>
                <w:webHidden/>
              </w:rPr>
              <w:t>7</w:t>
            </w:r>
            <w:r>
              <w:rPr>
                <w:noProof/>
                <w:webHidden/>
              </w:rPr>
              <w:fldChar w:fldCharType="end"/>
            </w:r>
          </w:hyperlink>
        </w:p>
        <w:p w14:paraId="7F08FD13" w14:textId="0B78C877" w:rsidR="003667DE" w:rsidRDefault="003667DE">
          <w:pPr>
            <w:pStyle w:val="TM1"/>
            <w:tabs>
              <w:tab w:val="left" w:pos="480"/>
              <w:tab w:val="right" w:leader="dot" w:pos="20921"/>
            </w:tabs>
            <w:rPr>
              <w:rFonts w:asciiTheme="minorHAnsi" w:eastAsiaTheme="minorEastAsia" w:hAnsiTheme="minorHAnsi"/>
              <w:noProof/>
              <w:kern w:val="2"/>
              <w:szCs w:val="24"/>
              <w:lang w:val="en-US"/>
              <w14:ligatures w14:val="standardContextual"/>
            </w:rPr>
          </w:pPr>
          <w:hyperlink w:anchor="_Toc207194614" w:history="1">
            <w:r w:rsidRPr="001D1925">
              <w:rPr>
                <w:rStyle w:val="Lienhypertexte"/>
                <w:noProof/>
              </w:rPr>
              <w:t>II.</w:t>
            </w:r>
            <w:r>
              <w:rPr>
                <w:rFonts w:asciiTheme="minorHAnsi" w:eastAsiaTheme="minorEastAsia" w:hAnsiTheme="minorHAnsi"/>
                <w:noProof/>
                <w:kern w:val="2"/>
                <w:szCs w:val="24"/>
                <w:lang w:val="en-US"/>
                <w14:ligatures w14:val="standardContextual"/>
              </w:rPr>
              <w:tab/>
            </w:r>
            <w:r w:rsidRPr="001D1925">
              <w:rPr>
                <w:rStyle w:val="Lienhypertexte"/>
                <w:noProof/>
              </w:rPr>
              <w:t>Taxation de la détention</w:t>
            </w:r>
            <w:r>
              <w:rPr>
                <w:noProof/>
                <w:webHidden/>
              </w:rPr>
              <w:tab/>
            </w:r>
            <w:r>
              <w:rPr>
                <w:noProof/>
                <w:webHidden/>
              </w:rPr>
              <w:fldChar w:fldCharType="begin"/>
            </w:r>
            <w:r>
              <w:rPr>
                <w:noProof/>
                <w:webHidden/>
              </w:rPr>
              <w:instrText xml:space="preserve"> PAGEREF _Toc207194614 \h </w:instrText>
            </w:r>
            <w:r>
              <w:rPr>
                <w:noProof/>
                <w:webHidden/>
              </w:rPr>
            </w:r>
            <w:r>
              <w:rPr>
                <w:noProof/>
                <w:webHidden/>
              </w:rPr>
              <w:fldChar w:fldCharType="separate"/>
            </w:r>
            <w:r>
              <w:rPr>
                <w:noProof/>
                <w:webHidden/>
              </w:rPr>
              <w:t>8</w:t>
            </w:r>
            <w:r>
              <w:rPr>
                <w:noProof/>
                <w:webHidden/>
              </w:rPr>
              <w:fldChar w:fldCharType="end"/>
            </w:r>
          </w:hyperlink>
        </w:p>
        <w:p w14:paraId="16E1CBFF" w14:textId="626B073E"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15" w:history="1">
            <w:r w:rsidRPr="001D1925">
              <w:rPr>
                <w:rStyle w:val="Lienhypertexte"/>
                <w:noProof/>
              </w:rPr>
              <w:t>1.</w:t>
            </w:r>
            <w:r>
              <w:rPr>
                <w:rFonts w:asciiTheme="minorHAnsi" w:eastAsiaTheme="minorEastAsia" w:hAnsiTheme="minorHAnsi"/>
                <w:noProof/>
                <w:kern w:val="2"/>
                <w:szCs w:val="24"/>
                <w:lang w:val="en-US"/>
                <w14:ligatures w14:val="standardContextual"/>
              </w:rPr>
              <w:tab/>
            </w:r>
            <w:r w:rsidRPr="001D1925">
              <w:rPr>
                <w:rStyle w:val="Lienhypertexte"/>
                <w:noProof/>
              </w:rPr>
              <w:t>La taxe foncière</w:t>
            </w:r>
            <w:r>
              <w:rPr>
                <w:noProof/>
                <w:webHidden/>
              </w:rPr>
              <w:tab/>
            </w:r>
            <w:r>
              <w:rPr>
                <w:noProof/>
                <w:webHidden/>
              </w:rPr>
              <w:fldChar w:fldCharType="begin"/>
            </w:r>
            <w:r>
              <w:rPr>
                <w:noProof/>
                <w:webHidden/>
              </w:rPr>
              <w:instrText xml:space="preserve"> PAGEREF _Toc207194615 \h </w:instrText>
            </w:r>
            <w:r>
              <w:rPr>
                <w:noProof/>
                <w:webHidden/>
              </w:rPr>
            </w:r>
            <w:r>
              <w:rPr>
                <w:noProof/>
                <w:webHidden/>
              </w:rPr>
              <w:fldChar w:fldCharType="separate"/>
            </w:r>
            <w:r>
              <w:rPr>
                <w:noProof/>
                <w:webHidden/>
              </w:rPr>
              <w:t>9</w:t>
            </w:r>
            <w:r>
              <w:rPr>
                <w:noProof/>
                <w:webHidden/>
              </w:rPr>
              <w:fldChar w:fldCharType="end"/>
            </w:r>
          </w:hyperlink>
        </w:p>
        <w:p w14:paraId="6F5BC67B" w14:textId="436B7E03" w:rsidR="003667DE" w:rsidRDefault="003667DE">
          <w:pPr>
            <w:pStyle w:val="TM3"/>
            <w:rPr>
              <w:rFonts w:asciiTheme="minorHAnsi" w:eastAsiaTheme="minorEastAsia" w:hAnsiTheme="minorHAnsi"/>
              <w:noProof/>
              <w:kern w:val="2"/>
              <w:szCs w:val="24"/>
              <w:lang w:val="en-US"/>
              <w14:ligatures w14:val="standardContextual"/>
            </w:rPr>
          </w:pPr>
          <w:hyperlink w:anchor="_Toc207194616" w:history="1">
            <w:r w:rsidRPr="001D1925">
              <w:rPr>
                <w:rStyle w:val="Lienhypertexte"/>
                <w:noProof/>
              </w:rPr>
              <w:t>A.</w:t>
            </w:r>
            <w:r>
              <w:rPr>
                <w:rFonts w:asciiTheme="minorHAnsi" w:eastAsiaTheme="minorEastAsia" w:hAnsiTheme="minorHAnsi"/>
                <w:noProof/>
                <w:kern w:val="2"/>
                <w:szCs w:val="24"/>
                <w:lang w:val="en-US"/>
                <w14:ligatures w14:val="standardContextual"/>
              </w:rPr>
              <w:tab/>
            </w:r>
            <w:r w:rsidRPr="001D1925">
              <w:rPr>
                <w:rStyle w:val="Lienhypertexte"/>
                <w:noProof/>
              </w:rPr>
              <w:t>Principe</w:t>
            </w:r>
            <w:r>
              <w:rPr>
                <w:noProof/>
                <w:webHidden/>
              </w:rPr>
              <w:tab/>
            </w:r>
            <w:r>
              <w:rPr>
                <w:noProof/>
                <w:webHidden/>
              </w:rPr>
              <w:fldChar w:fldCharType="begin"/>
            </w:r>
            <w:r>
              <w:rPr>
                <w:noProof/>
                <w:webHidden/>
              </w:rPr>
              <w:instrText xml:space="preserve"> PAGEREF _Toc207194616 \h </w:instrText>
            </w:r>
            <w:r>
              <w:rPr>
                <w:noProof/>
                <w:webHidden/>
              </w:rPr>
            </w:r>
            <w:r>
              <w:rPr>
                <w:noProof/>
                <w:webHidden/>
              </w:rPr>
              <w:fldChar w:fldCharType="separate"/>
            </w:r>
            <w:r>
              <w:rPr>
                <w:noProof/>
                <w:webHidden/>
              </w:rPr>
              <w:t>9</w:t>
            </w:r>
            <w:r>
              <w:rPr>
                <w:noProof/>
                <w:webHidden/>
              </w:rPr>
              <w:fldChar w:fldCharType="end"/>
            </w:r>
          </w:hyperlink>
        </w:p>
        <w:p w14:paraId="2EDA5C83" w14:textId="345D35C8" w:rsidR="003667DE" w:rsidRDefault="003667DE">
          <w:pPr>
            <w:pStyle w:val="TM3"/>
            <w:rPr>
              <w:rFonts w:asciiTheme="minorHAnsi" w:eastAsiaTheme="minorEastAsia" w:hAnsiTheme="minorHAnsi"/>
              <w:noProof/>
              <w:kern w:val="2"/>
              <w:szCs w:val="24"/>
              <w:lang w:val="en-US"/>
              <w14:ligatures w14:val="standardContextual"/>
            </w:rPr>
          </w:pPr>
          <w:hyperlink w:anchor="_Toc207194617" w:history="1">
            <w:r w:rsidRPr="001D1925">
              <w:rPr>
                <w:rStyle w:val="Lienhypertexte"/>
                <w:noProof/>
              </w:rPr>
              <w:t>B.</w:t>
            </w:r>
            <w:r>
              <w:rPr>
                <w:rFonts w:asciiTheme="minorHAnsi" w:eastAsiaTheme="minorEastAsia" w:hAnsiTheme="minorHAnsi"/>
                <w:noProof/>
                <w:kern w:val="2"/>
                <w:szCs w:val="24"/>
                <w:lang w:val="en-US"/>
                <w14:ligatures w14:val="standardContextual"/>
              </w:rPr>
              <w:tab/>
            </w:r>
            <w:r w:rsidRPr="001D1925">
              <w:rPr>
                <w:rStyle w:val="Lienhypertexte"/>
                <w:noProof/>
              </w:rPr>
              <w:t>Exonérations et dégrèvements</w:t>
            </w:r>
            <w:r>
              <w:rPr>
                <w:noProof/>
                <w:webHidden/>
              </w:rPr>
              <w:tab/>
            </w:r>
            <w:r>
              <w:rPr>
                <w:noProof/>
                <w:webHidden/>
              </w:rPr>
              <w:fldChar w:fldCharType="begin"/>
            </w:r>
            <w:r>
              <w:rPr>
                <w:noProof/>
                <w:webHidden/>
              </w:rPr>
              <w:instrText xml:space="preserve"> PAGEREF _Toc207194617 \h </w:instrText>
            </w:r>
            <w:r>
              <w:rPr>
                <w:noProof/>
                <w:webHidden/>
              </w:rPr>
            </w:r>
            <w:r>
              <w:rPr>
                <w:noProof/>
                <w:webHidden/>
              </w:rPr>
              <w:fldChar w:fldCharType="separate"/>
            </w:r>
            <w:r>
              <w:rPr>
                <w:noProof/>
                <w:webHidden/>
              </w:rPr>
              <w:t>10</w:t>
            </w:r>
            <w:r>
              <w:rPr>
                <w:noProof/>
                <w:webHidden/>
              </w:rPr>
              <w:fldChar w:fldCharType="end"/>
            </w:r>
          </w:hyperlink>
        </w:p>
        <w:p w14:paraId="0A1BE2F0" w14:textId="4D15A1B7"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18" w:history="1">
            <w:r w:rsidRPr="001D1925">
              <w:rPr>
                <w:rStyle w:val="Lienhypertexte"/>
                <w:noProof/>
              </w:rPr>
              <w:t>2.</w:t>
            </w:r>
            <w:r>
              <w:rPr>
                <w:rFonts w:asciiTheme="minorHAnsi" w:eastAsiaTheme="minorEastAsia" w:hAnsiTheme="minorHAnsi"/>
                <w:noProof/>
                <w:kern w:val="2"/>
                <w:szCs w:val="24"/>
                <w:lang w:val="en-US"/>
                <w14:ligatures w14:val="standardContextual"/>
              </w:rPr>
              <w:tab/>
            </w:r>
            <w:r w:rsidRPr="001D1925">
              <w:rPr>
                <w:rStyle w:val="Lienhypertexte"/>
                <w:noProof/>
              </w:rPr>
              <w:t>Autres taxes</w:t>
            </w:r>
            <w:r>
              <w:rPr>
                <w:noProof/>
                <w:webHidden/>
              </w:rPr>
              <w:tab/>
            </w:r>
            <w:r>
              <w:rPr>
                <w:noProof/>
                <w:webHidden/>
              </w:rPr>
              <w:fldChar w:fldCharType="begin"/>
            </w:r>
            <w:r>
              <w:rPr>
                <w:noProof/>
                <w:webHidden/>
              </w:rPr>
              <w:instrText xml:space="preserve"> PAGEREF _Toc207194618 \h </w:instrText>
            </w:r>
            <w:r>
              <w:rPr>
                <w:noProof/>
                <w:webHidden/>
              </w:rPr>
            </w:r>
            <w:r>
              <w:rPr>
                <w:noProof/>
                <w:webHidden/>
              </w:rPr>
              <w:fldChar w:fldCharType="separate"/>
            </w:r>
            <w:r>
              <w:rPr>
                <w:noProof/>
                <w:webHidden/>
              </w:rPr>
              <w:t>13</w:t>
            </w:r>
            <w:r>
              <w:rPr>
                <w:noProof/>
                <w:webHidden/>
              </w:rPr>
              <w:fldChar w:fldCharType="end"/>
            </w:r>
          </w:hyperlink>
        </w:p>
        <w:p w14:paraId="6ADDC064" w14:textId="0E7B8389" w:rsidR="003667DE" w:rsidRDefault="003667DE">
          <w:pPr>
            <w:pStyle w:val="TM1"/>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19" w:history="1">
            <w:r w:rsidRPr="001D1925">
              <w:rPr>
                <w:rStyle w:val="Lienhypertexte"/>
                <w:noProof/>
              </w:rPr>
              <w:t>III.</w:t>
            </w:r>
            <w:r>
              <w:rPr>
                <w:rFonts w:asciiTheme="minorHAnsi" w:eastAsiaTheme="minorEastAsia" w:hAnsiTheme="minorHAnsi"/>
                <w:noProof/>
                <w:kern w:val="2"/>
                <w:szCs w:val="24"/>
                <w:lang w:val="en-US"/>
                <w14:ligatures w14:val="standardContextual"/>
              </w:rPr>
              <w:tab/>
            </w:r>
            <w:r w:rsidRPr="001D1925">
              <w:rPr>
                <w:rStyle w:val="Lienhypertexte"/>
                <w:noProof/>
              </w:rPr>
              <w:t>Taxation des revenus fonciers</w:t>
            </w:r>
            <w:r>
              <w:rPr>
                <w:noProof/>
                <w:webHidden/>
              </w:rPr>
              <w:tab/>
            </w:r>
            <w:r>
              <w:rPr>
                <w:noProof/>
                <w:webHidden/>
              </w:rPr>
              <w:fldChar w:fldCharType="begin"/>
            </w:r>
            <w:r>
              <w:rPr>
                <w:noProof/>
                <w:webHidden/>
              </w:rPr>
              <w:instrText xml:space="preserve"> PAGEREF _Toc207194619 \h </w:instrText>
            </w:r>
            <w:r>
              <w:rPr>
                <w:noProof/>
                <w:webHidden/>
              </w:rPr>
            </w:r>
            <w:r>
              <w:rPr>
                <w:noProof/>
                <w:webHidden/>
              </w:rPr>
              <w:fldChar w:fldCharType="separate"/>
            </w:r>
            <w:r>
              <w:rPr>
                <w:noProof/>
                <w:webHidden/>
              </w:rPr>
              <w:t>14</w:t>
            </w:r>
            <w:r>
              <w:rPr>
                <w:noProof/>
                <w:webHidden/>
              </w:rPr>
              <w:fldChar w:fldCharType="end"/>
            </w:r>
          </w:hyperlink>
        </w:p>
        <w:p w14:paraId="582AA6CD" w14:textId="3192C170"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20" w:history="1">
            <w:r w:rsidRPr="001D1925">
              <w:rPr>
                <w:rStyle w:val="Lienhypertexte"/>
                <w:noProof/>
              </w:rPr>
              <w:t>1.</w:t>
            </w:r>
            <w:r>
              <w:rPr>
                <w:rFonts w:asciiTheme="minorHAnsi" w:eastAsiaTheme="minorEastAsia" w:hAnsiTheme="minorHAnsi"/>
                <w:noProof/>
                <w:kern w:val="2"/>
                <w:szCs w:val="24"/>
                <w:lang w:val="en-US"/>
                <w14:ligatures w14:val="standardContextual"/>
              </w:rPr>
              <w:tab/>
            </w:r>
            <w:r w:rsidRPr="001D1925">
              <w:rPr>
                <w:rStyle w:val="Lienhypertexte"/>
                <w:noProof/>
              </w:rPr>
              <w:t>Le régime “micro foncier”</w:t>
            </w:r>
            <w:r>
              <w:rPr>
                <w:noProof/>
                <w:webHidden/>
              </w:rPr>
              <w:tab/>
            </w:r>
            <w:r>
              <w:rPr>
                <w:noProof/>
                <w:webHidden/>
              </w:rPr>
              <w:fldChar w:fldCharType="begin"/>
            </w:r>
            <w:r>
              <w:rPr>
                <w:noProof/>
                <w:webHidden/>
              </w:rPr>
              <w:instrText xml:space="preserve"> PAGEREF _Toc207194620 \h </w:instrText>
            </w:r>
            <w:r>
              <w:rPr>
                <w:noProof/>
                <w:webHidden/>
              </w:rPr>
            </w:r>
            <w:r>
              <w:rPr>
                <w:noProof/>
                <w:webHidden/>
              </w:rPr>
              <w:fldChar w:fldCharType="separate"/>
            </w:r>
            <w:r>
              <w:rPr>
                <w:noProof/>
                <w:webHidden/>
              </w:rPr>
              <w:t>15</w:t>
            </w:r>
            <w:r>
              <w:rPr>
                <w:noProof/>
                <w:webHidden/>
              </w:rPr>
              <w:fldChar w:fldCharType="end"/>
            </w:r>
          </w:hyperlink>
        </w:p>
        <w:p w14:paraId="774DE4A8" w14:textId="1D378045" w:rsidR="003667DE" w:rsidRDefault="003667DE">
          <w:pPr>
            <w:pStyle w:val="TM3"/>
            <w:rPr>
              <w:rFonts w:asciiTheme="minorHAnsi" w:eastAsiaTheme="minorEastAsia" w:hAnsiTheme="minorHAnsi"/>
              <w:noProof/>
              <w:kern w:val="2"/>
              <w:szCs w:val="24"/>
              <w:lang w:val="en-US"/>
              <w14:ligatures w14:val="standardContextual"/>
            </w:rPr>
          </w:pPr>
          <w:hyperlink w:anchor="_Toc207194621" w:history="1">
            <w:r w:rsidRPr="001D1925">
              <w:rPr>
                <w:rStyle w:val="Lienhypertexte"/>
                <w:noProof/>
              </w:rPr>
              <w:t>A.</w:t>
            </w:r>
            <w:r>
              <w:rPr>
                <w:rFonts w:asciiTheme="minorHAnsi" w:eastAsiaTheme="minorEastAsia" w:hAnsiTheme="minorHAnsi"/>
                <w:noProof/>
                <w:kern w:val="2"/>
                <w:szCs w:val="24"/>
                <w:lang w:val="en-US"/>
                <w14:ligatures w14:val="standardContextual"/>
              </w:rPr>
              <w:tab/>
            </w:r>
            <w:r w:rsidRPr="001D1925">
              <w:rPr>
                <w:rStyle w:val="Lienhypertexte"/>
                <w:noProof/>
              </w:rPr>
              <w:t>Conditions</w:t>
            </w:r>
            <w:r>
              <w:rPr>
                <w:noProof/>
                <w:webHidden/>
              </w:rPr>
              <w:tab/>
            </w:r>
            <w:r>
              <w:rPr>
                <w:noProof/>
                <w:webHidden/>
              </w:rPr>
              <w:fldChar w:fldCharType="begin"/>
            </w:r>
            <w:r>
              <w:rPr>
                <w:noProof/>
                <w:webHidden/>
              </w:rPr>
              <w:instrText xml:space="preserve"> PAGEREF _Toc207194621 \h </w:instrText>
            </w:r>
            <w:r>
              <w:rPr>
                <w:noProof/>
                <w:webHidden/>
              </w:rPr>
            </w:r>
            <w:r>
              <w:rPr>
                <w:noProof/>
                <w:webHidden/>
              </w:rPr>
              <w:fldChar w:fldCharType="separate"/>
            </w:r>
            <w:r>
              <w:rPr>
                <w:noProof/>
                <w:webHidden/>
              </w:rPr>
              <w:t>15</w:t>
            </w:r>
            <w:r>
              <w:rPr>
                <w:noProof/>
                <w:webHidden/>
              </w:rPr>
              <w:fldChar w:fldCharType="end"/>
            </w:r>
          </w:hyperlink>
        </w:p>
        <w:p w14:paraId="0249E73D" w14:textId="4C4E5748" w:rsidR="003667DE" w:rsidRDefault="003667DE">
          <w:pPr>
            <w:pStyle w:val="TM3"/>
            <w:rPr>
              <w:rFonts w:asciiTheme="minorHAnsi" w:eastAsiaTheme="minorEastAsia" w:hAnsiTheme="minorHAnsi"/>
              <w:noProof/>
              <w:kern w:val="2"/>
              <w:szCs w:val="24"/>
              <w:lang w:val="en-US"/>
              <w14:ligatures w14:val="standardContextual"/>
            </w:rPr>
          </w:pPr>
          <w:hyperlink w:anchor="_Toc207194622" w:history="1">
            <w:r w:rsidRPr="001D1925">
              <w:rPr>
                <w:rStyle w:val="Lienhypertexte"/>
                <w:noProof/>
              </w:rPr>
              <w:t>B.</w:t>
            </w:r>
            <w:r>
              <w:rPr>
                <w:rFonts w:asciiTheme="minorHAnsi" w:eastAsiaTheme="minorEastAsia" w:hAnsiTheme="minorHAnsi"/>
                <w:noProof/>
                <w:kern w:val="2"/>
                <w:szCs w:val="24"/>
                <w:lang w:val="en-US"/>
                <w14:ligatures w14:val="standardContextual"/>
              </w:rPr>
              <w:tab/>
            </w:r>
            <w:r w:rsidRPr="001D1925">
              <w:rPr>
                <w:rStyle w:val="Lienhypertexte"/>
                <w:noProof/>
              </w:rPr>
              <w:t>Obligations déclaratives</w:t>
            </w:r>
            <w:r>
              <w:rPr>
                <w:noProof/>
                <w:webHidden/>
              </w:rPr>
              <w:tab/>
            </w:r>
            <w:r>
              <w:rPr>
                <w:noProof/>
                <w:webHidden/>
              </w:rPr>
              <w:fldChar w:fldCharType="begin"/>
            </w:r>
            <w:r>
              <w:rPr>
                <w:noProof/>
                <w:webHidden/>
              </w:rPr>
              <w:instrText xml:space="preserve"> PAGEREF _Toc207194622 \h </w:instrText>
            </w:r>
            <w:r>
              <w:rPr>
                <w:noProof/>
                <w:webHidden/>
              </w:rPr>
            </w:r>
            <w:r>
              <w:rPr>
                <w:noProof/>
                <w:webHidden/>
              </w:rPr>
              <w:fldChar w:fldCharType="separate"/>
            </w:r>
            <w:r>
              <w:rPr>
                <w:noProof/>
                <w:webHidden/>
              </w:rPr>
              <w:t>16</w:t>
            </w:r>
            <w:r>
              <w:rPr>
                <w:noProof/>
                <w:webHidden/>
              </w:rPr>
              <w:fldChar w:fldCharType="end"/>
            </w:r>
          </w:hyperlink>
        </w:p>
        <w:p w14:paraId="6838B958" w14:textId="1FEBF4F7"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23" w:history="1">
            <w:r w:rsidRPr="001D1925">
              <w:rPr>
                <w:rStyle w:val="Lienhypertexte"/>
                <w:noProof/>
              </w:rPr>
              <w:t>2.</w:t>
            </w:r>
            <w:r>
              <w:rPr>
                <w:rFonts w:asciiTheme="minorHAnsi" w:eastAsiaTheme="minorEastAsia" w:hAnsiTheme="minorHAnsi"/>
                <w:noProof/>
                <w:kern w:val="2"/>
                <w:szCs w:val="24"/>
                <w:lang w:val="en-US"/>
                <w14:ligatures w14:val="standardContextual"/>
              </w:rPr>
              <w:tab/>
            </w:r>
            <w:r w:rsidRPr="001D1925">
              <w:rPr>
                <w:rStyle w:val="Lienhypertexte"/>
                <w:noProof/>
              </w:rPr>
              <w:t>Le régime « réel »</w:t>
            </w:r>
            <w:r>
              <w:rPr>
                <w:noProof/>
                <w:webHidden/>
              </w:rPr>
              <w:tab/>
            </w:r>
            <w:r>
              <w:rPr>
                <w:noProof/>
                <w:webHidden/>
              </w:rPr>
              <w:fldChar w:fldCharType="begin"/>
            </w:r>
            <w:r>
              <w:rPr>
                <w:noProof/>
                <w:webHidden/>
              </w:rPr>
              <w:instrText xml:space="preserve"> PAGEREF _Toc207194623 \h </w:instrText>
            </w:r>
            <w:r>
              <w:rPr>
                <w:noProof/>
                <w:webHidden/>
              </w:rPr>
            </w:r>
            <w:r>
              <w:rPr>
                <w:noProof/>
                <w:webHidden/>
              </w:rPr>
              <w:fldChar w:fldCharType="separate"/>
            </w:r>
            <w:r>
              <w:rPr>
                <w:noProof/>
                <w:webHidden/>
              </w:rPr>
              <w:t>17</w:t>
            </w:r>
            <w:r>
              <w:rPr>
                <w:noProof/>
                <w:webHidden/>
              </w:rPr>
              <w:fldChar w:fldCharType="end"/>
            </w:r>
          </w:hyperlink>
        </w:p>
        <w:p w14:paraId="632B48EC" w14:textId="2C58D611" w:rsidR="003667DE" w:rsidRDefault="003667DE">
          <w:pPr>
            <w:pStyle w:val="TM3"/>
            <w:rPr>
              <w:rFonts w:asciiTheme="minorHAnsi" w:eastAsiaTheme="minorEastAsia" w:hAnsiTheme="minorHAnsi"/>
              <w:noProof/>
              <w:kern w:val="2"/>
              <w:szCs w:val="24"/>
              <w:lang w:val="en-US"/>
              <w14:ligatures w14:val="standardContextual"/>
            </w:rPr>
          </w:pPr>
          <w:hyperlink w:anchor="_Toc207194624" w:history="1">
            <w:r w:rsidRPr="001D1925">
              <w:rPr>
                <w:rStyle w:val="Lienhypertexte"/>
                <w:noProof/>
              </w:rPr>
              <w:t>A.</w:t>
            </w:r>
            <w:r>
              <w:rPr>
                <w:rFonts w:asciiTheme="minorHAnsi" w:eastAsiaTheme="minorEastAsia" w:hAnsiTheme="minorHAnsi"/>
                <w:noProof/>
                <w:kern w:val="2"/>
                <w:szCs w:val="24"/>
                <w:lang w:val="en-US"/>
                <w14:ligatures w14:val="standardContextual"/>
              </w:rPr>
              <w:tab/>
            </w:r>
            <w:r w:rsidRPr="001D1925">
              <w:rPr>
                <w:rStyle w:val="Lienhypertexte"/>
                <w:noProof/>
              </w:rPr>
              <w:t>Conditions</w:t>
            </w:r>
            <w:r>
              <w:rPr>
                <w:noProof/>
                <w:webHidden/>
              </w:rPr>
              <w:tab/>
            </w:r>
            <w:r>
              <w:rPr>
                <w:noProof/>
                <w:webHidden/>
              </w:rPr>
              <w:fldChar w:fldCharType="begin"/>
            </w:r>
            <w:r>
              <w:rPr>
                <w:noProof/>
                <w:webHidden/>
              </w:rPr>
              <w:instrText xml:space="preserve"> PAGEREF _Toc207194624 \h </w:instrText>
            </w:r>
            <w:r>
              <w:rPr>
                <w:noProof/>
                <w:webHidden/>
              </w:rPr>
            </w:r>
            <w:r>
              <w:rPr>
                <w:noProof/>
                <w:webHidden/>
              </w:rPr>
              <w:fldChar w:fldCharType="separate"/>
            </w:r>
            <w:r>
              <w:rPr>
                <w:noProof/>
                <w:webHidden/>
              </w:rPr>
              <w:t>17</w:t>
            </w:r>
            <w:r>
              <w:rPr>
                <w:noProof/>
                <w:webHidden/>
              </w:rPr>
              <w:fldChar w:fldCharType="end"/>
            </w:r>
          </w:hyperlink>
        </w:p>
        <w:p w14:paraId="0E99826B" w14:textId="473A6526" w:rsidR="003667DE" w:rsidRDefault="003667DE">
          <w:pPr>
            <w:pStyle w:val="TM3"/>
            <w:rPr>
              <w:rFonts w:asciiTheme="minorHAnsi" w:eastAsiaTheme="minorEastAsia" w:hAnsiTheme="minorHAnsi"/>
              <w:noProof/>
              <w:kern w:val="2"/>
              <w:szCs w:val="24"/>
              <w:lang w:val="en-US"/>
              <w14:ligatures w14:val="standardContextual"/>
            </w:rPr>
          </w:pPr>
          <w:hyperlink w:anchor="_Toc207194625" w:history="1">
            <w:r w:rsidRPr="001D1925">
              <w:rPr>
                <w:rStyle w:val="Lienhypertexte"/>
                <w:noProof/>
              </w:rPr>
              <w:t>B.</w:t>
            </w:r>
            <w:r>
              <w:rPr>
                <w:rFonts w:asciiTheme="minorHAnsi" w:eastAsiaTheme="minorEastAsia" w:hAnsiTheme="minorHAnsi"/>
                <w:noProof/>
                <w:kern w:val="2"/>
                <w:szCs w:val="24"/>
                <w:lang w:val="en-US"/>
                <w14:ligatures w14:val="standardContextual"/>
              </w:rPr>
              <w:tab/>
            </w:r>
            <w:r w:rsidRPr="001D1925">
              <w:rPr>
                <w:rStyle w:val="Lienhypertexte"/>
                <w:noProof/>
              </w:rPr>
              <w:t>Obligations déclaratives</w:t>
            </w:r>
            <w:r>
              <w:rPr>
                <w:noProof/>
                <w:webHidden/>
              </w:rPr>
              <w:tab/>
            </w:r>
            <w:r>
              <w:rPr>
                <w:noProof/>
                <w:webHidden/>
              </w:rPr>
              <w:fldChar w:fldCharType="begin"/>
            </w:r>
            <w:r>
              <w:rPr>
                <w:noProof/>
                <w:webHidden/>
              </w:rPr>
              <w:instrText xml:space="preserve"> PAGEREF _Toc207194625 \h </w:instrText>
            </w:r>
            <w:r>
              <w:rPr>
                <w:noProof/>
                <w:webHidden/>
              </w:rPr>
            </w:r>
            <w:r>
              <w:rPr>
                <w:noProof/>
                <w:webHidden/>
              </w:rPr>
              <w:fldChar w:fldCharType="separate"/>
            </w:r>
            <w:r>
              <w:rPr>
                <w:noProof/>
                <w:webHidden/>
              </w:rPr>
              <w:t>17</w:t>
            </w:r>
            <w:r>
              <w:rPr>
                <w:noProof/>
                <w:webHidden/>
              </w:rPr>
              <w:fldChar w:fldCharType="end"/>
            </w:r>
          </w:hyperlink>
        </w:p>
        <w:p w14:paraId="322CFFF0" w14:textId="1375F411" w:rsidR="003667DE" w:rsidRDefault="003667DE">
          <w:pPr>
            <w:pStyle w:val="TM3"/>
            <w:rPr>
              <w:rFonts w:asciiTheme="minorHAnsi" w:eastAsiaTheme="minorEastAsia" w:hAnsiTheme="minorHAnsi"/>
              <w:noProof/>
              <w:kern w:val="2"/>
              <w:szCs w:val="24"/>
              <w:lang w:val="en-US"/>
              <w14:ligatures w14:val="standardContextual"/>
            </w:rPr>
          </w:pPr>
          <w:hyperlink w:anchor="_Toc207194626" w:history="1">
            <w:r w:rsidRPr="001D1925">
              <w:rPr>
                <w:rStyle w:val="Lienhypertexte"/>
                <w:noProof/>
              </w:rPr>
              <w:t>C.</w:t>
            </w:r>
            <w:r>
              <w:rPr>
                <w:rFonts w:asciiTheme="minorHAnsi" w:eastAsiaTheme="minorEastAsia" w:hAnsiTheme="minorHAnsi"/>
                <w:noProof/>
                <w:kern w:val="2"/>
                <w:szCs w:val="24"/>
                <w:lang w:val="en-US"/>
                <w14:ligatures w14:val="standardContextual"/>
              </w:rPr>
              <w:tab/>
            </w:r>
            <w:r w:rsidRPr="001D1925">
              <w:rPr>
                <w:rStyle w:val="Lienhypertexte"/>
                <w:noProof/>
              </w:rPr>
              <w:t>Cas particulier des immeubles en démembrement de propriété</w:t>
            </w:r>
            <w:r>
              <w:rPr>
                <w:noProof/>
                <w:webHidden/>
              </w:rPr>
              <w:tab/>
            </w:r>
            <w:r>
              <w:rPr>
                <w:noProof/>
                <w:webHidden/>
              </w:rPr>
              <w:fldChar w:fldCharType="begin"/>
            </w:r>
            <w:r>
              <w:rPr>
                <w:noProof/>
                <w:webHidden/>
              </w:rPr>
              <w:instrText xml:space="preserve"> PAGEREF _Toc207194626 \h </w:instrText>
            </w:r>
            <w:r>
              <w:rPr>
                <w:noProof/>
                <w:webHidden/>
              </w:rPr>
            </w:r>
            <w:r>
              <w:rPr>
                <w:noProof/>
                <w:webHidden/>
              </w:rPr>
              <w:fldChar w:fldCharType="separate"/>
            </w:r>
            <w:r>
              <w:rPr>
                <w:noProof/>
                <w:webHidden/>
              </w:rPr>
              <w:t>19</w:t>
            </w:r>
            <w:r>
              <w:rPr>
                <w:noProof/>
                <w:webHidden/>
              </w:rPr>
              <w:fldChar w:fldCharType="end"/>
            </w:r>
          </w:hyperlink>
        </w:p>
        <w:p w14:paraId="03637574" w14:textId="1F5C6637"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27" w:history="1">
            <w:r w:rsidRPr="001D1925">
              <w:rPr>
                <w:rStyle w:val="Lienhypertexte"/>
                <w:noProof/>
              </w:rPr>
              <w:t>3.</w:t>
            </w:r>
            <w:r>
              <w:rPr>
                <w:rFonts w:asciiTheme="minorHAnsi" w:eastAsiaTheme="minorEastAsia" w:hAnsiTheme="minorHAnsi"/>
                <w:noProof/>
                <w:kern w:val="2"/>
                <w:szCs w:val="24"/>
                <w:lang w:val="en-US"/>
                <w14:ligatures w14:val="standardContextual"/>
              </w:rPr>
              <w:tab/>
            </w:r>
            <w:r w:rsidRPr="001D1925">
              <w:rPr>
                <w:rStyle w:val="Lienhypertexte"/>
                <w:noProof/>
              </w:rPr>
              <w:t>Le régime du dispositif fiscal Pinel</w:t>
            </w:r>
            <w:r>
              <w:rPr>
                <w:noProof/>
                <w:webHidden/>
              </w:rPr>
              <w:tab/>
            </w:r>
            <w:r>
              <w:rPr>
                <w:noProof/>
                <w:webHidden/>
              </w:rPr>
              <w:fldChar w:fldCharType="begin"/>
            </w:r>
            <w:r>
              <w:rPr>
                <w:noProof/>
                <w:webHidden/>
              </w:rPr>
              <w:instrText xml:space="preserve"> PAGEREF _Toc207194627 \h </w:instrText>
            </w:r>
            <w:r>
              <w:rPr>
                <w:noProof/>
                <w:webHidden/>
              </w:rPr>
            </w:r>
            <w:r>
              <w:rPr>
                <w:noProof/>
                <w:webHidden/>
              </w:rPr>
              <w:fldChar w:fldCharType="separate"/>
            </w:r>
            <w:r>
              <w:rPr>
                <w:noProof/>
                <w:webHidden/>
              </w:rPr>
              <w:t>19</w:t>
            </w:r>
            <w:r>
              <w:rPr>
                <w:noProof/>
                <w:webHidden/>
              </w:rPr>
              <w:fldChar w:fldCharType="end"/>
            </w:r>
          </w:hyperlink>
        </w:p>
        <w:p w14:paraId="199D9FC3" w14:textId="031CC658"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28" w:history="1">
            <w:r w:rsidRPr="001D1925">
              <w:rPr>
                <w:rStyle w:val="Lienhypertexte"/>
                <w:noProof/>
              </w:rPr>
              <w:t>4.</w:t>
            </w:r>
            <w:r>
              <w:rPr>
                <w:rFonts w:asciiTheme="minorHAnsi" w:eastAsiaTheme="minorEastAsia" w:hAnsiTheme="minorHAnsi"/>
                <w:noProof/>
                <w:kern w:val="2"/>
                <w:szCs w:val="24"/>
                <w:lang w:val="en-US"/>
                <w14:ligatures w14:val="standardContextual"/>
              </w:rPr>
              <w:tab/>
            </w:r>
            <w:r w:rsidRPr="001D1925">
              <w:rPr>
                <w:rStyle w:val="Lienhypertexte"/>
                <w:noProof/>
              </w:rPr>
              <w:t>Le régime du dispositif Pinel outre-mer</w:t>
            </w:r>
            <w:r>
              <w:rPr>
                <w:noProof/>
                <w:webHidden/>
              </w:rPr>
              <w:tab/>
            </w:r>
            <w:r>
              <w:rPr>
                <w:noProof/>
                <w:webHidden/>
              </w:rPr>
              <w:fldChar w:fldCharType="begin"/>
            </w:r>
            <w:r>
              <w:rPr>
                <w:noProof/>
                <w:webHidden/>
              </w:rPr>
              <w:instrText xml:space="preserve"> PAGEREF _Toc207194628 \h </w:instrText>
            </w:r>
            <w:r>
              <w:rPr>
                <w:noProof/>
                <w:webHidden/>
              </w:rPr>
            </w:r>
            <w:r>
              <w:rPr>
                <w:noProof/>
                <w:webHidden/>
              </w:rPr>
              <w:fldChar w:fldCharType="separate"/>
            </w:r>
            <w:r>
              <w:rPr>
                <w:noProof/>
                <w:webHidden/>
              </w:rPr>
              <w:t>20</w:t>
            </w:r>
            <w:r>
              <w:rPr>
                <w:noProof/>
                <w:webHidden/>
              </w:rPr>
              <w:fldChar w:fldCharType="end"/>
            </w:r>
          </w:hyperlink>
        </w:p>
        <w:p w14:paraId="4F06AD4B" w14:textId="378676DD"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29" w:history="1">
            <w:r w:rsidRPr="001D1925">
              <w:rPr>
                <w:rStyle w:val="Lienhypertexte"/>
                <w:noProof/>
              </w:rPr>
              <w:t>5.</w:t>
            </w:r>
            <w:r>
              <w:rPr>
                <w:rFonts w:asciiTheme="minorHAnsi" w:eastAsiaTheme="minorEastAsia" w:hAnsiTheme="minorHAnsi"/>
                <w:noProof/>
                <w:kern w:val="2"/>
                <w:szCs w:val="24"/>
                <w:lang w:val="en-US"/>
                <w14:ligatures w14:val="standardContextual"/>
              </w:rPr>
              <w:tab/>
            </w:r>
            <w:r w:rsidRPr="001D1925">
              <w:rPr>
                <w:rStyle w:val="Lienhypertexte"/>
                <w:noProof/>
              </w:rPr>
              <w:t>Le régime fiscal du LMNP</w:t>
            </w:r>
            <w:r>
              <w:rPr>
                <w:noProof/>
                <w:webHidden/>
              </w:rPr>
              <w:tab/>
            </w:r>
            <w:r>
              <w:rPr>
                <w:noProof/>
                <w:webHidden/>
              </w:rPr>
              <w:fldChar w:fldCharType="begin"/>
            </w:r>
            <w:r>
              <w:rPr>
                <w:noProof/>
                <w:webHidden/>
              </w:rPr>
              <w:instrText xml:space="preserve"> PAGEREF _Toc207194629 \h </w:instrText>
            </w:r>
            <w:r>
              <w:rPr>
                <w:noProof/>
                <w:webHidden/>
              </w:rPr>
            </w:r>
            <w:r>
              <w:rPr>
                <w:noProof/>
                <w:webHidden/>
              </w:rPr>
              <w:fldChar w:fldCharType="separate"/>
            </w:r>
            <w:r>
              <w:rPr>
                <w:noProof/>
                <w:webHidden/>
              </w:rPr>
              <w:t>21</w:t>
            </w:r>
            <w:r>
              <w:rPr>
                <w:noProof/>
                <w:webHidden/>
              </w:rPr>
              <w:fldChar w:fldCharType="end"/>
            </w:r>
          </w:hyperlink>
        </w:p>
        <w:p w14:paraId="4E32EB97" w14:textId="314E7AF2"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30" w:history="1">
            <w:r w:rsidRPr="001D1925">
              <w:rPr>
                <w:rStyle w:val="Lienhypertexte"/>
                <w:noProof/>
              </w:rPr>
              <w:t>6.</w:t>
            </w:r>
            <w:r>
              <w:rPr>
                <w:rFonts w:asciiTheme="minorHAnsi" w:eastAsiaTheme="minorEastAsia" w:hAnsiTheme="minorHAnsi"/>
                <w:noProof/>
                <w:kern w:val="2"/>
                <w:szCs w:val="24"/>
                <w:lang w:val="en-US"/>
                <w14:ligatures w14:val="standardContextual"/>
              </w:rPr>
              <w:tab/>
            </w:r>
            <w:r w:rsidRPr="001D1925">
              <w:rPr>
                <w:rStyle w:val="Lienhypertexte"/>
                <w:noProof/>
              </w:rPr>
              <w:t>Le régime fiscal du LMP</w:t>
            </w:r>
            <w:r>
              <w:rPr>
                <w:noProof/>
                <w:webHidden/>
              </w:rPr>
              <w:tab/>
            </w:r>
            <w:r>
              <w:rPr>
                <w:noProof/>
                <w:webHidden/>
              </w:rPr>
              <w:fldChar w:fldCharType="begin"/>
            </w:r>
            <w:r>
              <w:rPr>
                <w:noProof/>
                <w:webHidden/>
              </w:rPr>
              <w:instrText xml:space="preserve"> PAGEREF _Toc207194630 \h </w:instrText>
            </w:r>
            <w:r>
              <w:rPr>
                <w:noProof/>
                <w:webHidden/>
              </w:rPr>
            </w:r>
            <w:r>
              <w:rPr>
                <w:noProof/>
                <w:webHidden/>
              </w:rPr>
              <w:fldChar w:fldCharType="separate"/>
            </w:r>
            <w:r>
              <w:rPr>
                <w:noProof/>
                <w:webHidden/>
              </w:rPr>
              <w:t>23</w:t>
            </w:r>
            <w:r>
              <w:rPr>
                <w:noProof/>
                <w:webHidden/>
              </w:rPr>
              <w:fldChar w:fldCharType="end"/>
            </w:r>
          </w:hyperlink>
        </w:p>
        <w:p w14:paraId="1284D56D" w14:textId="6F6FD9C7"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31" w:history="1">
            <w:r w:rsidRPr="001D1925">
              <w:rPr>
                <w:rStyle w:val="Lienhypertexte"/>
                <w:noProof/>
              </w:rPr>
              <w:t>7.</w:t>
            </w:r>
            <w:r>
              <w:rPr>
                <w:rFonts w:asciiTheme="minorHAnsi" w:eastAsiaTheme="minorEastAsia" w:hAnsiTheme="minorHAnsi"/>
                <w:noProof/>
                <w:kern w:val="2"/>
                <w:szCs w:val="24"/>
                <w:lang w:val="en-US"/>
                <w14:ligatures w14:val="standardContextual"/>
              </w:rPr>
              <w:tab/>
            </w:r>
            <w:r w:rsidRPr="001D1925">
              <w:rPr>
                <w:rStyle w:val="Lienhypertexte"/>
                <w:noProof/>
              </w:rPr>
              <w:t>Le régime du dispositif CENSI-BOUVARD</w:t>
            </w:r>
            <w:r>
              <w:rPr>
                <w:noProof/>
                <w:webHidden/>
              </w:rPr>
              <w:tab/>
            </w:r>
            <w:r>
              <w:rPr>
                <w:noProof/>
                <w:webHidden/>
              </w:rPr>
              <w:fldChar w:fldCharType="begin"/>
            </w:r>
            <w:r>
              <w:rPr>
                <w:noProof/>
                <w:webHidden/>
              </w:rPr>
              <w:instrText xml:space="preserve"> PAGEREF _Toc207194631 \h </w:instrText>
            </w:r>
            <w:r>
              <w:rPr>
                <w:noProof/>
                <w:webHidden/>
              </w:rPr>
            </w:r>
            <w:r>
              <w:rPr>
                <w:noProof/>
                <w:webHidden/>
              </w:rPr>
              <w:fldChar w:fldCharType="separate"/>
            </w:r>
            <w:r>
              <w:rPr>
                <w:noProof/>
                <w:webHidden/>
              </w:rPr>
              <w:t>24</w:t>
            </w:r>
            <w:r>
              <w:rPr>
                <w:noProof/>
                <w:webHidden/>
              </w:rPr>
              <w:fldChar w:fldCharType="end"/>
            </w:r>
          </w:hyperlink>
        </w:p>
        <w:p w14:paraId="0CFC7AB6" w14:textId="4E1CE218"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32" w:history="1">
            <w:r w:rsidRPr="001D1925">
              <w:rPr>
                <w:rStyle w:val="Lienhypertexte"/>
                <w:noProof/>
              </w:rPr>
              <w:t>8.</w:t>
            </w:r>
            <w:r>
              <w:rPr>
                <w:rFonts w:asciiTheme="minorHAnsi" w:eastAsiaTheme="minorEastAsia" w:hAnsiTheme="minorHAnsi"/>
                <w:noProof/>
                <w:kern w:val="2"/>
                <w:szCs w:val="24"/>
                <w:lang w:val="en-US"/>
                <w14:ligatures w14:val="standardContextual"/>
              </w:rPr>
              <w:tab/>
            </w:r>
            <w:r w:rsidRPr="001D1925">
              <w:rPr>
                <w:rStyle w:val="Lienhypertexte"/>
                <w:noProof/>
              </w:rPr>
              <w:t>Le dispositif Malraux</w:t>
            </w:r>
            <w:r>
              <w:rPr>
                <w:noProof/>
                <w:webHidden/>
              </w:rPr>
              <w:tab/>
            </w:r>
            <w:r>
              <w:rPr>
                <w:noProof/>
                <w:webHidden/>
              </w:rPr>
              <w:fldChar w:fldCharType="begin"/>
            </w:r>
            <w:r>
              <w:rPr>
                <w:noProof/>
                <w:webHidden/>
              </w:rPr>
              <w:instrText xml:space="preserve"> PAGEREF _Toc207194632 \h </w:instrText>
            </w:r>
            <w:r>
              <w:rPr>
                <w:noProof/>
                <w:webHidden/>
              </w:rPr>
            </w:r>
            <w:r>
              <w:rPr>
                <w:noProof/>
                <w:webHidden/>
              </w:rPr>
              <w:fldChar w:fldCharType="separate"/>
            </w:r>
            <w:r>
              <w:rPr>
                <w:noProof/>
                <w:webHidden/>
              </w:rPr>
              <w:t>25</w:t>
            </w:r>
            <w:r>
              <w:rPr>
                <w:noProof/>
                <w:webHidden/>
              </w:rPr>
              <w:fldChar w:fldCharType="end"/>
            </w:r>
          </w:hyperlink>
        </w:p>
        <w:p w14:paraId="4CFC4FDD" w14:textId="25054D57" w:rsidR="003667DE" w:rsidRDefault="003667DE">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194633" w:history="1">
            <w:r w:rsidRPr="001D1925">
              <w:rPr>
                <w:rStyle w:val="Lienhypertexte"/>
                <w:noProof/>
              </w:rPr>
              <w:t>9.</w:t>
            </w:r>
            <w:r>
              <w:rPr>
                <w:rFonts w:asciiTheme="minorHAnsi" w:eastAsiaTheme="minorEastAsia" w:hAnsiTheme="minorHAnsi"/>
                <w:noProof/>
                <w:kern w:val="2"/>
                <w:szCs w:val="24"/>
                <w:lang w:val="en-US"/>
                <w14:ligatures w14:val="standardContextual"/>
              </w:rPr>
              <w:tab/>
            </w:r>
            <w:r w:rsidRPr="001D1925">
              <w:rPr>
                <w:rStyle w:val="Lienhypertexte"/>
                <w:noProof/>
              </w:rPr>
              <w:t>Les avantages fiscaux pour détention d’immeubles classés monuments historiques ou inscrits à l’inventaire supplémentaire</w:t>
            </w:r>
            <w:r>
              <w:rPr>
                <w:noProof/>
                <w:webHidden/>
              </w:rPr>
              <w:tab/>
            </w:r>
            <w:r>
              <w:rPr>
                <w:noProof/>
                <w:webHidden/>
              </w:rPr>
              <w:fldChar w:fldCharType="begin"/>
            </w:r>
            <w:r>
              <w:rPr>
                <w:noProof/>
                <w:webHidden/>
              </w:rPr>
              <w:instrText xml:space="preserve"> PAGEREF _Toc207194633 \h </w:instrText>
            </w:r>
            <w:r>
              <w:rPr>
                <w:noProof/>
                <w:webHidden/>
              </w:rPr>
            </w:r>
            <w:r>
              <w:rPr>
                <w:noProof/>
                <w:webHidden/>
              </w:rPr>
              <w:fldChar w:fldCharType="separate"/>
            </w:r>
            <w:r>
              <w:rPr>
                <w:noProof/>
                <w:webHidden/>
              </w:rPr>
              <w:t>26</w:t>
            </w:r>
            <w:r>
              <w:rPr>
                <w:noProof/>
                <w:webHidden/>
              </w:rPr>
              <w:fldChar w:fldCharType="end"/>
            </w:r>
          </w:hyperlink>
        </w:p>
        <w:p w14:paraId="0690B086" w14:textId="3787C69D" w:rsidR="003667DE" w:rsidRDefault="003667DE">
          <w:pPr>
            <w:pStyle w:val="TM2"/>
            <w:tabs>
              <w:tab w:val="left" w:pos="960"/>
              <w:tab w:val="right" w:leader="dot" w:pos="20921"/>
            </w:tabs>
            <w:rPr>
              <w:rFonts w:asciiTheme="minorHAnsi" w:eastAsiaTheme="minorEastAsia" w:hAnsiTheme="minorHAnsi"/>
              <w:noProof/>
              <w:kern w:val="2"/>
              <w:szCs w:val="24"/>
              <w:lang w:val="en-US"/>
              <w14:ligatures w14:val="standardContextual"/>
            </w:rPr>
          </w:pPr>
          <w:hyperlink w:anchor="_Toc207194634" w:history="1">
            <w:r w:rsidRPr="001D1925">
              <w:rPr>
                <w:rStyle w:val="Lienhypertexte"/>
                <w:noProof/>
              </w:rPr>
              <w:t>10.</w:t>
            </w:r>
            <w:r>
              <w:rPr>
                <w:rFonts w:asciiTheme="minorHAnsi" w:eastAsiaTheme="minorEastAsia" w:hAnsiTheme="minorHAnsi"/>
                <w:noProof/>
                <w:kern w:val="2"/>
                <w:szCs w:val="24"/>
                <w:lang w:val="en-US"/>
                <w14:ligatures w14:val="standardContextual"/>
              </w:rPr>
              <w:tab/>
            </w:r>
            <w:r w:rsidRPr="001D1925">
              <w:rPr>
                <w:rStyle w:val="Lienhypertexte"/>
                <w:noProof/>
              </w:rPr>
              <w:t>Le dispositif Denormandie</w:t>
            </w:r>
            <w:r>
              <w:rPr>
                <w:noProof/>
                <w:webHidden/>
              </w:rPr>
              <w:tab/>
            </w:r>
            <w:r>
              <w:rPr>
                <w:noProof/>
                <w:webHidden/>
              </w:rPr>
              <w:fldChar w:fldCharType="begin"/>
            </w:r>
            <w:r>
              <w:rPr>
                <w:noProof/>
                <w:webHidden/>
              </w:rPr>
              <w:instrText xml:space="preserve"> PAGEREF _Toc207194634 \h </w:instrText>
            </w:r>
            <w:r>
              <w:rPr>
                <w:noProof/>
                <w:webHidden/>
              </w:rPr>
            </w:r>
            <w:r>
              <w:rPr>
                <w:noProof/>
                <w:webHidden/>
              </w:rPr>
              <w:fldChar w:fldCharType="separate"/>
            </w:r>
            <w:r>
              <w:rPr>
                <w:noProof/>
                <w:webHidden/>
              </w:rPr>
              <w:t>28</w:t>
            </w:r>
            <w:r>
              <w:rPr>
                <w:noProof/>
                <w:webHidden/>
              </w:rPr>
              <w:fldChar w:fldCharType="end"/>
            </w:r>
          </w:hyperlink>
        </w:p>
        <w:p w14:paraId="77D0B2FB" w14:textId="6FA14B35" w:rsidR="003667DE" w:rsidRDefault="003667DE">
          <w:pPr>
            <w:pStyle w:val="TM2"/>
            <w:tabs>
              <w:tab w:val="left" w:pos="960"/>
              <w:tab w:val="right" w:leader="dot" w:pos="20921"/>
            </w:tabs>
            <w:rPr>
              <w:rFonts w:asciiTheme="minorHAnsi" w:eastAsiaTheme="minorEastAsia" w:hAnsiTheme="minorHAnsi"/>
              <w:noProof/>
              <w:kern w:val="2"/>
              <w:szCs w:val="24"/>
              <w:lang w:val="en-US"/>
              <w14:ligatures w14:val="standardContextual"/>
            </w:rPr>
          </w:pPr>
          <w:hyperlink w:anchor="_Toc207194635" w:history="1">
            <w:r w:rsidRPr="001D1925">
              <w:rPr>
                <w:rStyle w:val="Lienhypertexte"/>
                <w:noProof/>
              </w:rPr>
              <w:t>11.</w:t>
            </w:r>
            <w:r>
              <w:rPr>
                <w:rFonts w:asciiTheme="minorHAnsi" w:eastAsiaTheme="minorEastAsia" w:hAnsiTheme="minorHAnsi"/>
                <w:noProof/>
                <w:kern w:val="2"/>
                <w:szCs w:val="24"/>
                <w:lang w:val="en-US"/>
                <w14:ligatures w14:val="standardContextual"/>
              </w:rPr>
              <w:tab/>
            </w:r>
            <w:r w:rsidRPr="001D1925">
              <w:rPr>
                <w:rStyle w:val="Lienhypertexte"/>
                <w:noProof/>
              </w:rPr>
              <w:t>Le dispositif Cosse : louer abordable</w:t>
            </w:r>
            <w:r>
              <w:rPr>
                <w:noProof/>
                <w:webHidden/>
              </w:rPr>
              <w:tab/>
            </w:r>
            <w:r>
              <w:rPr>
                <w:noProof/>
                <w:webHidden/>
              </w:rPr>
              <w:fldChar w:fldCharType="begin"/>
            </w:r>
            <w:r>
              <w:rPr>
                <w:noProof/>
                <w:webHidden/>
              </w:rPr>
              <w:instrText xml:space="preserve"> PAGEREF _Toc207194635 \h </w:instrText>
            </w:r>
            <w:r>
              <w:rPr>
                <w:noProof/>
                <w:webHidden/>
              </w:rPr>
            </w:r>
            <w:r>
              <w:rPr>
                <w:noProof/>
                <w:webHidden/>
              </w:rPr>
              <w:fldChar w:fldCharType="separate"/>
            </w:r>
            <w:r>
              <w:rPr>
                <w:noProof/>
                <w:webHidden/>
              </w:rPr>
              <w:t>29</w:t>
            </w:r>
            <w:r>
              <w:rPr>
                <w:noProof/>
                <w:webHidden/>
              </w:rPr>
              <w:fldChar w:fldCharType="end"/>
            </w:r>
          </w:hyperlink>
        </w:p>
        <w:p w14:paraId="76D52D41" w14:textId="1C6F5121" w:rsidR="00B8067C" w:rsidRDefault="00B8067C">
          <w:r>
            <w:rPr>
              <w:b/>
              <w:bCs/>
              <w:noProof/>
            </w:rPr>
            <w:fldChar w:fldCharType="end"/>
          </w:r>
        </w:p>
      </w:sdtContent>
    </w:sdt>
    <w:p w14:paraId="2148EE5B" w14:textId="00FDBED8" w:rsidR="00A94C40" w:rsidRDefault="00B42117" w:rsidP="00A94C40">
      <w:r>
        <w:rPr>
          <w:rFonts w:eastAsia="Times New Roman"/>
          <w:lang w:eastAsia="fr-FR"/>
        </w:rPr>
        <w:br w:type="page"/>
      </w:r>
      <w:r w:rsidR="00363864">
        <w:rPr>
          <w:noProof/>
          <w14:ligatures w14:val="standardContextual"/>
        </w:rPr>
        <w:lastRenderedPageBreak/>
        <mc:AlternateContent>
          <mc:Choice Requires="wps">
            <w:drawing>
              <wp:anchor distT="0" distB="0" distL="114300" distR="114300" simplePos="0" relativeHeight="251658241" behindDoc="1" locked="0" layoutInCell="1" allowOverlap="1" wp14:anchorId="218F133A" wp14:editId="302C8A58">
                <wp:simplePos x="0" y="0"/>
                <wp:positionH relativeFrom="column">
                  <wp:posOffset>-895350</wp:posOffset>
                </wp:positionH>
                <wp:positionV relativeFrom="paragraph">
                  <wp:posOffset>-113030</wp:posOffset>
                </wp:positionV>
                <wp:extent cx="15201900" cy="8896350"/>
                <wp:effectExtent l="0" t="0" r="19050" b="19050"/>
                <wp:wrapNone/>
                <wp:docPr id="151451936" name="Rectangle 2"/>
                <wp:cNvGraphicFramePr/>
                <a:graphic xmlns:a="http://schemas.openxmlformats.org/drawingml/2006/main">
                  <a:graphicData uri="http://schemas.microsoft.com/office/word/2010/wordprocessingShape">
                    <wps:wsp>
                      <wps:cNvSpPr/>
                      <wps:spPr>
                        <a:xfrm>
                          <a:off x="0" y="0"/>
                          <a:ext cx="15201900" cy="88963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006F94" id="Rectangle 2" o:spid="_x0000_s1026" style="position:absolute;margin-left:-70.5pt;margin-top:-8.9pt;width:1197pt;height:700.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" fillcolor="#4472c4 [3204]" strokecolor="#09101d [484]" strokeweight="1pt"/>
            </w:pict>
          </mc:Fallback>
        </mc:AlternateContent>
      </w:r>
      <w:r w:rsidR="00D710ED" w:rsidRPr="00A94C40">
        <w:t xml:space="preserve"> </w:t>
      </w:r>
    </w:p>
    <w:p w14:paraId="6897B3A1" w14:textId="77777777" w:rsidR="00A94C40" w:rsidRDefault="00A94C40" w:rsidP="00A94C40"/>
    <w:p w14:paraId="22AFA51E" w14:textId="77777777" w:rsidR="00A94C40" w:rsidRDefault="00A94C40" w:rsidP="00A94C40"/>
    <w:p w14:paraId="037F9488" w14:textId="77777777" w:rsidR="00A94C40" w:rsidRDefault="00A94C40" w:rsidP="00A94C40"/>
    <w:p w14:paraId="39D6B091" w14:textId="77777777" w:rsidR="00A94C40" w:rsidRDefault="00A94C40" w:rsidP="00A94C40"/>
    <w:p w14:paraId="53D7BA3A" w14:textId="77777777" w:rsidR="00A94C40" w:rsidRDefault="00A94C40" w:rsidP="00A94C40"/>
    <w:p w14:paraId="0279F099" w14:textId="77777777" w:rsidR="00A94C40" w:rsidRDefault="00A94C40" w:rsidP="00A94C40"/>
    <w:p w14:paraId="480AC72D" w14:textId="77777777" w:rsidR="00A94C40" w:rsidRDefault="00A94C40" w:rsidP="00A94C40"/>
    <w:p w14:paraId="58C192FF" w14:textId="77777777" w:rsidR="00A94C40" w:rsidRDefault="00A94C40" w:rsidP="00A94C40"/>
    <w:p w14:paraId="184766B1" w14:textId="77777777" w:rsidR="00A94C40" w:rsidRDefault="00A94C40" w:rsidP="00A94C40"/>
    <w:p w14:paraId="2E98E84C" w14:textId="77777777" w:rsidR="00A94C40" w:rsidRDefault="00A94C40" w:rsidP="00A94C40"/>
    <w:p w14:paraId="1C8FC71E" w14:textId="77777777" w:rsidR="00A94C40" w:rsidRDefault="00A94C40" w:rsidP="00A94C40"/>
    <w:p w14:paraId="3B10A490" w14:textId="3B14806E" w:rsidR="00A94C40" w:rsidRPr="00A94C40" w:rsidRDefault="00D710ED" w:rsidP="008B0B57">
      <w:pPr>
        <w:pStyle w:val="Titre1"/>
      </w:pPr>
      <w:bookmarkStart w:id="0" w:name="_Toc207194602"/>
      <w:r w:rsidRPr="00A94C40">
        <w:t>Taxation de l’acquisition</w:t>
      </w:r>
      <w:bookmarkEnd w:id="0"/>
      <w:r w:rsidRPr="00A94C40">
        <w:t> </w:t>
      </w:r>
    </w:p>
    <w:p w14:paraId="49FAEDB8" w14:textId="77777777" w:rsidR="00A94C40" w:rsidRDefault="00A94C40" w:rsidP="00D7464D">
      <w:pPr>
        <w:pStyle w:val="Paragraphe-CGPC"/>
        <w:rPr>
          <w:rFonts w:eastAsiaTheme="majorEastAsia"/>
          <w:color w:val="3A5D9C"/>
          <w:sz w:val="44"/>
          <w:szCs w:val="26"/>
        </w:rPr>
      </w:pPr>
      <w:r>
        <w:br w:type="page"/>
      </w:r>
    </w:p>
    <w:p w14:paraId="0886053A" w14:textId="3A037D83" w:rsidR="00D710ED" w:rsidRPr="007256AE" w:rsidRDefault="008B0B57" w:rsidP="00A831FE">
      <w:pPr>
        <w:pStyle w:val="Titre2"/>
      </w:pPr>
      <w:r>
        <w:lastRenderedPageBreak/>
        <w:t xml:space="preserve"> </w:t>
      </w:r>
      <w:bookmarkStart w:id="1" w:name="_Toc207194603"/>
      <w:r w:rsidR="00D710ED" w:rsidRPr="007256AE">
        <w:t>La TVA immobilière</w:t>
      </w:r>
      <w:bookmarkEnd w:id="1"/>
    </w:p>
    <w:p w14:paraId="18833E8A" w14:textId="77777777" w:rsidR="00D710ED" w:rsidRDefault="00D710ED" w:rsidP="001543F0">
      <w:pPr>
        <w:pStyle w:val="Paragraphe-CGPC"/>
      </w:pPr>
      <w:r>
        <w:t xml:space="preserve">La taxe sur la valeur ajoutée (TVA) immobilière est un </w:t>
      </w:r>
      <w:r w:rsidRPr="001543F0">
        <w:t>impôt</w:t>
      </w:r>
      <w:r>
        <w:t xml:space="preserve"> perçu par l’État, lorsque la vente porte sur un bien immobilier neuf qu’il s’agisse d’un logement ou d’un terrain à bâtir. </w:t>
      </w:r>
    </w:p>
    <w:p w14:paraId="7E02FE02" w14:textId="2D9B4F4E" w:rsidR="00D710ED" w:rsidRPr="007256AE" w:rsidRDefault="00D710ED" w:rsidP="00A831FE">
      <w:pPr>
        <w:pStyle w:val="Titre2"/>
      </w:pPr>
      <w:bookmarkStart w:id="2" w:name="_Toc207194604"/>
      <w:r w:rsidRPr="007256AE">
        <w:t>TVA immobilière et vente d’un logement neuf</w:t>
      </w:r>
      <w:bookmarkEnd w:id="2"/>
    </w:p>
    <w:p w14:paraId="53D796AD" w14:textId="77777777" w:rsidR="00D710ED" w:rsidRDefault="00D710ED" w:rsidP="00D7464D">
      <w:pPr>
        <w:pStyle w:val="Paragraphe-CGPC"/>
      </w:pPr>
      <w:r>
        <w:t>Il faut distinguer les immeubles neufs des immeubles anciens:</w:t>
      </w:r>
    </w:p>
    <w:p w14:paraId="10BC3FBF" w14:textId="5127E4D0" w:rsidR="00D710ED" w:rsidRPr="007256AE" w:rsidRDefault="00D710ED" w:rsidP="006E7B3C">
      <w:pPr>
        <w:pStyle w:val="Titre3"/>
      </w:pPr>
      <w:bookmarkStart w:id="3" w:name="_Toc207194605"/>
      <w:r w:rsidRPr="007256AE">
        <w:t>Immeubles anciens</w:t>
      </w:r>
      <w:bookmarkEnd w:id="3"/>
      <w:r w:rsidRPr="007256AE">
        <w:t> </w:t>
      </w:r>
    </w:p>
    <w:p w14:paraId="20E62E26" w14:textId="77777777" w:rsidR="00D710ED" w:rsidRPr="007256AE" w:rsidRDefault="00D710ED" w:rsidP="00D7464D">
      <w:pPr>
        <w:pStyle w:val="Paragraphe-CGPC"/>
      </w:pPr>
      <w:r w:rsidRPr="007256AE">
        <w:t>Cessions entre particuliers : Les ventes d’immeubles achevés depuis plus de 5 ans, réalisées entre particuliers, sont situées hors du champ d’applications de la TVA.</w:t>
      </w:r>
    </w:p>
    <w:p w14:paraId="39851E47" w14:textId="77777777" w:rsidR="00D710ED" w:rsidRPr="007256AE" w:rsidRDefault="00D710ED" w:rsidP="00D7464D">
      <w:pPr>
        <w:pStyle w:val="Paragraphe-CGPC"/>
      </w:pPr>
      <w:r w:rsidRPr="007256AE">
        <w:t>Vendus par des professionnels : Les ventes d’immeubles achevés depuis plus de 5 ans par un professionnel assujetti à la TVA sont exonérées de TVA (sauf option TVA sur le prix total ou sur la marge). </w:t>
      </w:r>
    </w:p>
    <w:p w14:paraId="42E765A8" w14:textId="34871953" w:rsidR="00D710ED" w:rsidRPr="007256AE" w:rsidRDefault="00D710ED" w:rsidP="006E7B3C">
      <w:pPr>
        <w:pStyle w:val="Titre3"/>
      </w:pPr>
      <w:bookmarkStart w:id="4" w:name="_Toc207194606"/>
      <w:r w:rsidRPr="007256AE">
        <w:t>Immeubles neufs</w:t>
      </w:r>
      <w:bookmarkEnd w:id="4"/>
    </w:p>
    <w:p w14:paraId="4233AC08" w14:textId="77777777" w:rsidR="00D710ED" w:rsidRDefault="00D710ED" w:rsidP="00D7464D">
      <w:pPr>
        <w:pStyle w:val="Paragraphe-CGPC"/>
      </w:pPr>
      <w:r>
        <w:t>Cessions entre particuliers : Les ventes d’immeubles neufs, réalisées entre particuliers sont situées hors du champ d’application de la TVA.</w:t>
      </w:r>
    </w:p>
    <w:p w14:paraId="535B8C1E" w14:textId="77777777" w:rsidR="00D710ED" w:rsidRDefault="00D710ED" w:rsidP="00D7464D">
      <w:pPr>
        <w:pStyle w:val="Paragraphe-CGPC"/>
      </w:pPr>
      <w:r>
        <w:t>Vendus par des professionnels : Les ventes d’immeubles achevés depuis moins de 5 ans sont soumises à la TVA au taux de 20 %.3. </w:t>
      </w:r>
    </w:p>
    <w:p w14:paraId="7A1B333C" w14:textId="59BBC4FD" w:rsidR="00D710ED" w:rsidRPr="007256AE" w:rsidRDefault="00D710ED" w:rsidP="00A831FE">
      <w:pPr>
        <w:pStyle w:val="Titre2"/>
      </w:pPr>
      <w:bookmarkStart w:id="5" w:name="_Toc207194607"/>
      <w:r w:rsidRPr="007256AE">
        <w:t>TVA immobilière et vente d’un terrain à bâtir</w:t>
      </w:r>
      <w:bookmarkEnd w:id="5"/>
      <w:r w:rsidRPr="007256AE">
        <w:t> </w:t>
      </w:r>
    </w:p>
    <w:p w14:paraId="00898AEC" w14:textId="77777777" w:rsidR="00D710ED" w:rsidRDefault="00D710ED" w:rsidP="00D7464D">
      <w:pPr>
        <w:pStyle w:val="Paragraphe-CGPC"/>
      </w:pPr>
      <w:r>
        <w:t>Pour déterminer le régime fiscal, il faut distinguer 2 cas :</w:t>
      </w:r>
    </w:p>
    <w:p w14:paraId="37A3389B" w14:textId="46547B21" w:rsidR="00D710ED" w:rsidRPr="007256AE" w:rsidRDefault="00D710ED" w:rsidP="003667DE">
      <w:pPr>
        <w:pStyle w:val="Titre3"/>
        <w:numPr>
          <w:ilvl w:val="0"/>
          <w:numId w:val="8"/>
        </w:numPr>
      </w:pPr>
      <w:bookmarkStart w:id="6" w:name="_Toc207194608"/>
      <w:r w:rsidRPr="007256AE">
        <w:t>Les cessions entre particuliers :</w:t>
      </w:r>
      <w:bookmarkEnd w:id="6"/>
    </w:p>
    <w:p w14:paraId="0BBF66FB" w14:textId="77777777" w:rsidR="00D710ED" w:rsidRDefault="00D710ED" w:rsidP="00D7464D">
      <w:pPr>
        <w:pStyle w:val="Paragraphe-CGPC"/>
      </w:pPr>
      <w:r>
        <w:t>Seuls les droits d’enregistrement sont exigibles (5,09  %, portés à 5,80 % dans la plupart des départements), pas la TVA.</w:t>
      </w:r>
    </w:p>
    <w:p w14:paraId="48DE73DD" w14:textId="0B13DEFE" w:rsidR="00D710ED" w:rsidRPr="007256AE" w:rsidRDefault="00D710ED" w:rsidP="006E7B3C">
      <w:pPr>
        <w:pStyle w:val="Titre3"/>
      </w:pPr>
      <w:bookmarkStart w:id="7" w:name="_Toc207194609"/>
      <w:r w:rsidRPr="007256AE">
        <w:lastRenderedPageBreak/>
        <w:t>Les terrains vendus par un professionnel :</w:t>
      </w:r>
      <w:bookmarkEnd w:id="7"/>
    </w:p>
    <w:p w14:paraId="190FC678" w14:textId="77777777" w:rsidR="00D710ED" w:rsidRPr="007256AE" w:rsidRDefault="00D710ED" w:rsidP="00D7464D">
      <w:pPr>
        <w:pStyle w:val="Paragraphe-CGPC"/>
      </w:pPr>
      <w:r w:rsidRPr="007256AE">
        <w:t>Les ventes de terrain par un professionnel assujetti à la TVA sont soumises à la TVA au taux de 20 % que l’acheteur soit un particulier ou non. La TVA est en principe payée par le vendeur.</w:t>
      </w:r>
    </w:p>
    <w:p w14:paraId="0D3DB3A0" w14:textId="77777777" w:rsidR="00D710ED" w:rsidRPr="007256AE" w:rsidRDefault="00D710ED" w:rsidP="00D7464D">
      <w:pPr>
        <w:pStyle w:val="Paragraphe-CGPC"/>
      </w:pPr>
      <w:r w:rsidRPr="007256AE">
        <w:t>S’il a acheté le terrain à un non-assujetti à la TVA, la TVA s’appliquera sur la marge et l’acheteur doit payer 5,09  % de droits d’enregistrement, actuellement portés à 5,80 % dans la plupart des départements.</w:t>
      </w:r>
    </w:p>
    <w:p w14:paraId="1320C649" w14:textId="77777777" w:rsidR="00D710ED" w:rsidRPr="007256AE" w:rsidRDefault="00D710ED" w:rsidP="00D7464D">
      <w:pPr>
        <w:pStyle w:val="Paragraphe-CGPC"/>
      </w:pPr>
      <w:r w:rsidRPr="007256AE">
        <w:t>Si le professionnel a acquis le terrain auprès d’un assujetti à la TVA, la TVA s’appliquera sur la totalité du prix de cession. En contrepartie, l’acheteur bénéficiera de droits d’enregistrement réduits à 0,715  %.</w:t>
      </w:r>
    </w:p>
    <w:p w14:paraId="6B63AB18" w14:textId="37C419C0" w:rsidR="00D710ED" w:rsidRPr="007256AE" w:rsidRDefault="00D710ED" w:rsidP="00D7464D">
      <w:pPr>
        <w:pStyle w:val="Paragraphe-CGPC"/>
      </w:pPr>
    </w:p>
    <w:p w14:paraId="69A7A9FB" w14:textId="791CB509" w:rsidR="00D710ED" w:rsidRPr="007256AE" w:rsidRDefault="00D710ED" w:rsidP="00D7464D">
      <w:pPr>
        <w:pStyle w:val="Paragraphe-CGPC"/>
      </w:pPr>
      <w:r w:rsidRPr="00363864">
        <w:rPr>
          <w:b/>
          <w:u w:val="single"/>
        </w:rPr>
        <w:t>Exemple :</w:t>
      </w:r>
      <w:r w:rsidRPr="007256AE">
        <w:t> vous avez acheté un logement sur plans en janvier 201</w:t>
      </w:r>
      <w:r w:rsidR="000321DA">
        <w:t>8</w:t>
      </w:r>
      <w:r w:rsidRPr="007256AE">
        <w:t>. Il est achevé en septembre 201</w:t>
      </w:r>
      <w:r w:rsidR="000321DA">
        <w:t>8</w:t>
      </w:r>
    </w:p>
    <w:p w14:paraId="60310289" w14:textId="79745AE8" w:rsidR="00D710ED" w:rsidRPr="007256AE" w:rsidRDefault="00D710ED" w:rsidP="00D7464D">
      <w:pPr>
        <w:pStyle w:val="Paragraphe-CGPC"/>
      </w:pPr>
      <w:r w:rsidRPr="007256AE">
        <w:t xml:space="preserve">Vous </w:t>
      </w:r>
      <w:r w:rsidR="000321DA">
        <w:t xml:space="preserve">avez </w:t>
      </w:r>
      <w:r w:rsidRPr="007256AE">
        <w:t>revend</w:t>
      </w:r>
      <w:r w:rsidR="000321DA">
        <w:t>u</w:t>
      </w:r>
      <w:r w:rsidRPr="007256AE">
        <w:t xml:space="preserve"> ce logement avant septembre 20</w:t>
      </w:r>
      <w:r w:rsidR="000321DA">
        <w:t>23</w:t>
      </w:r>
      <w:r w:rsidRPr="007256AE">
        <w:t>, la vente est soumise à TVA.</w:t>
      </w:r>
    </w:p>
    <w:p w14:paraId="533B2161" w14:textId="77777777" w:rsidR="00D710ED" w:rsidRPr="007256AE" w:rsidRDefault="00D710ED" w:rsidP="00D7464D">
      <w:pPr>
        <w:pStyle w:val="Paragraphe-CGPC"/>
      </w:pPr>
      <w:r w:rsidRPr="007256AE">
        <w:t>Votre acquéreur revend ce logement avant septembre 2015. La vente, même dans les cinq ans de l’achèvement, n’est plus soumise à TVA car il s’agit de la deuxième vente à un particulier après achèvement. Cette transaction est soumise aux droits de mutation.</w:t>
      </w:r>
    </w:p>
    <w:p w14:paraId="1E7C5763" w14:textId="2595F4C6" w:rsidR="00D710ED" w:rsidRPr="007256AE" w:rsidRDefault="00D710ED" w:rsidP="00D7464D">
      <w:pPr>
        <w:pStyle w:val="Paragraphe-CGPC"/>
      </w:pPr>
      <w:r w:rsidRPr="007256AE">
        <w:t xml:space="preserve">Vous </w:t>
      </w:r>
      <w:r w:rsidR="000321DA">
        <w:t xml:space="preserve">avez </w:t>
      </w:r>
      <w:r w:rsidRPr="007256AE">
        <w:t>revend</w:t>
      </w:r>
      <w:r w:rsidR="000321DA">
        <w:t>u</w:t>
      </w:r>
      <w:r w:rsidRPr="007256AE">
        <w:t xml:space="preserve"> ce logement après septembre 2015, la vente n’est plus soumise à TVA.</w:t>
      </w:r>
    </w:p>
    <w:p w14:paraId="23313FF1" w14:textId="77777777" w:rsidR="00D710ED" w:rsidRPr="007256AE" w:rsidRDefault="00D710ED" w:rsidP="00D7464D">
      <w:pPr>
        <w:pStyle w:val="Paragraphe-CGPC"/>
      </w:pPr>
      <w:r w:rsidRPr="007256AE">
        <w:t>La notion d’achèvement est donc essentielle. Une habitation est considérée comme achevée lorsque sont exécutés les ouvrages, et sont installés les éléments d’équipement le rendant habitable. La date d’achèvement de l’immeuble est en principe attestée par la déclaration d’achèvement.</w:t>
      </w:r>
    </w:p>
    <w:p w14:paraId="336EC543" w14:textId="43D0CA4F" w:rsidR="00D710ED" w:rsidRPr="007256AE" w:rsidRDefault="00D710ED" w:rsidP="00A831FE">
      <w:pPr>
        <w:pStyle w:val="Titre2"/>
      </w:pPr>
      <w:bookmarkStart w:id="8" w:name="_Toc207194610"/>
      <w:r w:rsidRPr="007256AE">
        <w:t>Les droits d’enregistrement</w:t>
      </w:r>
      <w:bookmarkEnd w:id="8"/>
    </w:p>
    <w:p w14:paraId="3B926478" w14:textId="77777777" w:rsidR="00D710ED" w:rsidRPr="00363864" w:rsidRDefault="00D710ED" w:rsidP="00D7464D">
      <w:pPr>
        <w:pStyle w:val="Paragraphe-CGPC"/>
      </w:pPr>
      <w:r w:rsidRPr="00363864">
        <w:rPr>
          <w:rStyle w:val="lev"/>
          <w:b w:val="0"/>
          <w:bCs/>
        </w:rPr>
        <w:t>Les mutations à titre onéreux de biens immobiliers </w:t>
      </w:r>
      <w:r w:rsidRPr="00363864">
        <w:t>sont soumises aux droits d’enregistrement dès lors qu’elles ne relèvent pas du régime de la TVA immobilière.</w:t>
      </w:r>
    </w:p>
    <w:p w14:paraId="7A253438" w14:textId="77777777" w:rsidR="00D710ED" w:rsidRPr="00363864" w:rsidRDefault="00D710ED" w:rsidP="00D7464D">
      <w:pPr>
        <w:pStyle w:val="Paragraphe-CGPC"/>
      </w:pPr>
      <w:r w:rsidRPr="00363864">
        <w:t>Les droits sont perçus lors de la présentation de l’acte à la formalité de l’enregistrement qui est obligatoire pour certaines opérations (ventes immobilières, échanges, partages, mais également donations ou successions soumises aux droits de mutation à titre gratuit).</w:t>
      </w:r>
    </w:p>
    <w:p w14:paraId="00514661" w14:textId="46144A38" w:rsidR="00D710ED" w:rsidRPr="007256AE" w:rsidRDefault="00D710ED" w:rsidP="00A831FE">
      <w:pPr>
        <w:pStyle w:val="Titre2"/>
      </w:pPr>
      <w:bookmarkStart w:id="9" w:name="_Toc207194611"/>
      <w:r w:rsidRPr="007256AE">
        <w:lastRenderedPageBreak/>
        <w:t>Les opérations soumises aux droits d’enregistrement</w:t>
      </w:r>
      <w:bookmarkEnd w:id="9"/>
      <w:r w:rsidRPr="007256AE">
        <w:t> </w:t>
      </w:r>
    </w:p>
    <w:p w14:paraId="4905986E" w14:textId="77777777" w:rsidR="00D710ED" w:rsidRPr="00363864" w:rsidRDefault="00D710ED" w:rsidP="00D7464D">
      <w:pPr>
        <w:pStyle w:val="Paragraphe-CGPC"/>
      </w:pPr>
      <w:r w:rsidRPr="00363864">
        <w:rPr>
          <w:rStyle w:val="lev"/>
          <w:b w:val="0"/>
          <w:bCs/>
        </w:rPr>
        <w:t>Les ventes d’immeubles d’habitation ne relevant pas de la TVA </w:t>
      </w:r>
      <w:r w:rsidRPr="00363864">
        <w:t>: il s’agit de locaux affectés au logement des personnes (qu’il s’agisse d’une résidence principale, secondaire ou d’agrément), des dépendances de l’habitation (caves, greniers, buanderies, terrasses …), des terrains sur lesquels les constructions sont établies ainsi que des garages, box et emplacements de parking.</w:t>
      </w:r>
    </w:p>
    <w:p w14:paraId="76B59FB5" w14:textId="77777777" w:rsidR="00D710ED" w:rsidRPr="00363864" w:rsidRDefault="00D710ED" w:rsidP="00D7464D">
      <w:pPr>
        <w:pStyle w:val="Paragraphe-CGPC"/>
      </w:pPr>
      <w:r w:rsidRPr="00363864">
        <w:rPr>
          <w:rStyle w:val="lev"/>
          <w:b w:val="0"/>
          <w:bCs/>
        </w:rPr>
        <w:t>Les ventes d’immeubles professionnels ne relevant pas de la TVA </w:t>
      </w:r>
      <w:r w:rsidRPr="00363864">
        <w:t>: elles concernent les opérations portant sur les immeubles à usage commercial, industriel, artisanal ou agricole, les garages destinés à une exploitation commerciale ou professionnelle et les immeubles non bâtis.</w:t>
      </w:r>
    </w:p>
    <w:p w14:paraId="30BCD2A0" w14:textId="77777777" w:rsidR="00D710ED" w:rsidRPr="00363864" w:rsidRDefault="00D710ED" w:rsidP="00D7464D">
      <w:pPr>
        <w:pStyle w:val="Paragraphe-CGPC"/>
      </w:pPr>
      <w:r w:rsidRPr="00363864">
        <w:t>Le loueur en meublé fait notamment partie de cette catégorie.</w:t>
      </w:r>
    </w:p>
    <w:p w14:paraId="56E8FEF1" w14:textId="77777777" w:rsidR="00D710ED" w:rsidRPr="00363864" w:rsidRDefault="00D710ED" w:rsidP="00D7464D">
      <w:pPr>
        <w:pStyle w:val="Paragraphe-CGPC"/>
      </w:pPr>
      <w:r w:rsidRPr="00363864">
        <w:rPr>
          <w:rStyle w:val="lev"/>
          <w:b w:val="0"/>
          <w:bCs/>
        </w:rPr>
        <w:t>Les acquisitions de terrains à bâtir par des particuliers pour la construction d’immeubles affectés à l’habitation </w:t>
      </w:r>
      <w:r w:rsidRPr="00363864">
        <w:t>: le logement peut être occupé à titre de résidence principale, de résidence secondaire ou d’agrément, ou encore être donné en location nue.</w:t>
      </w:r>
    </w:p>
    <w:p w14:paraId="438953F1" w14:textId="77777777" w:rsidR="00D710ED" w:rsidRDefault="00D710ED" w:rsidP="00D7464D">
      <w:pPr>
        <w:pStyle w:val="Paragraphe-CGPC"/>
      </w:pPr>
      <w:r w:rsidRPr="00363864">
        <w:t>Si les immeubles sont à usage mixte d’habitation et professionnel, ils sont assimilés à des locaux d’habitation</w:t>
      </w:r>
      <w:r>
        <w:t>.</w:t>
      </w:r>
    </w:p>
    <w:p w14:paraId="06663014" w14:textId="7B6EC9D3" w:rsidR="00D710ED" w:rsidRPr="007256AE" w:rsidRDefault="00D710ED" w:rsidP="00A831FE">
      <w:pPr>
        <w:pStyle w:val="Titre2"/>
      </w:pPr>
      <w:bookmarkStart w:id="10" w:name="_Toc207194612"/>
      <w:r w:rsidRPr="007256AE">
        <w:t>Le droit de vente d’immeuble</w:t>
      </w:r>
      <w:bookmarkEnd w:id="10"/>
      <w:r w:rsidRPr="007256AE">
        <w:t> </w:t>
      </w:r>
    </w:p>
    <w:p w14:paraId="194F157B" w14:textId="77777777" w:rsidR="00D710ED" w:rsidRPr="00363864" w:rsidRDefault="00D710ED" w:rsidP="00D7464D">
      <w:pPr>
        <w:pStyle w:val="Paragraphe-CGPC"/>
      </w:pPr>
      <w:r w:rsidRPr="00363864">
        <w:t>Le droit de vente est dû sur le prix figurant à l’acte. Toutefois, l’administration fiscale peut substituer à ce prix la valeur vénale réelle de l’immeuble si elle est supérieure.</w:t>
      </w:r>
    </w:p>
    <w:p w14:paraId="09F7DB97" w14:textId="77777777" w:rsidR="00D710ED" w:rsidRPr="00363864" w:rsidRDefault="00D710ED" w:rsidP="00D7464D">
      <w:pPr>
        <w:pStyle w:val="Paragraphe-CGPC"/>
      </w:pPr>
      <w:r w:rsidRPr="00363864">
        <w:t>Elle peut en effet établir que le prix a été sous-évalué (on parle d’insuffisance de prix ou d’évaluation), ou qu’il y a eu dissimulation de prix lorsque le prix figurant à l’acte est inférieur au prix convenu.</w:t>
      </w:r>
    </w:p>
    <w:p w14:paraId="04AFE369" w14:textId="77777777" w:rsidR="00D710ED" w:rsidRPr="00363864" w:rsidRDefault="00D710ED" w:rsidP="000036A4">
      <w:pPr>
        <w:pStyle w:val="Paragraphe-CGPC"/>
        <w:jc w:val="left"/>
      </w:pPr>
      <w:r w:rsidRPr="00363864">
        <w:t>Le droit de vente se décompose en :</w:t>
      </w:r>
    </w:p>
    <w:p w14:paraId="6AB3E56B" w14:textId="77777777" w:rsidR="00D710ED" w:rsidRPr="00363864" w:rsidRDefault="00D710ED" w:rsidP="000036A4">
      <w:pPr>
        <w:pStyle w:val="Paragraphe-CGPC"/>
        <w:jc w:val="left"/>
      </w:pPr>
      <w:r w:rsidRPr="00363864">
        <w:t>Un droit proportionnel départemental fixé par chaque Conseil général entre 1,20 % et 3,80 % maximum ; ce droit est appelé taxe de publicité foncière pour les actes soumis à la formalité fusionnée.</w:t>
      </w:r>
      <w:r w:rsidRPr="00363864">
        <w:br/>
        <w:t>L’augmentation du taux à 4,50 % est pérennisée par la loi de finances 2015 pour les actes et conventions qui seront conclues à compter du 1er mars 2016. Le taux du droit départemental applicable sera celui en vigueur au 31 janvier 2016, sauf délibération contraire ;</w:t>
      </w:r>
    </w:p>
    <w:p w14:paraId="12753582" w14:textId="77777777" w:rsidR="00D710ED" w:rsidRPr="00363864" w:rsidRDefault="00D710ED" w:rsidP="000036A4">
      <w:pPr>
        <w:pStyle w:val="Paragraphe-CGPC"/>
        <w:jc w:val="left"/>
      </w:pPr>
      <w:r w:rsidRPr="00363864">
        <w:t>Une taxe additionnelle perçue au profit de la commune de 1,20 % ;</w:t>
      </w:r>
    </w:p>
    <w:p w14:paraId="35926477" w14:textId="77777777" w:rsidR="00D710ED" w:rsidRPr="00363864" w:rsidRDefault="00D710ED" w:rsidP="00D7464D">
      <w:pPr>
        <w:pStyle w:val="Paragraphe-CGPC"/>
      </w:pPr>
      <w:r w:rsidRPr="00363864">
        <w:t>Et un prélèvement de 2,37 %, au profit de l’État au titre des frais d’assiette et de recouvrement calculé sur le montant du droit départemental (soit un taux maximum de 0,09 %).</w:t>
      </w:r>
    </w:p>
    <w:p w14:paraId="4C24F176" w14:textId="77777777" w:rsidR="00D710ED" w:rsidRPr="00363864" w:rsidRDefault="00D710ED" w:rsidP="00D7464D">
      <w:pPr>
        <w:pStyle w:val="Paragraphe-CGPC"/>
      </w:pPr>
      <w:r w:rsidRPr="00363864">
        <w:lastRenderedPageBreak/>
        <w:t>Le droit de vente s’élève donc au maximum à 5,80 % depuis le 1er mars 2014.</w:t>
      </w:r>
    </w:p>
    <w:p w14:paraId="4050199A" w14:textId="77777777" w:rsidR="00D710ED" w:rsidRPr="00363864" w:rsidRDefault="00D710ED" w:rsidP="00D7464D">
      <w:pPr>
        <w:pStyle w:val="Paragraphe-CGPC"/>
      </w:pPr>
      <w:r w:rsidRPr="00363864">
        <w:t>Certaines acquisitions sont soumises à un droit réduit de 0,70 % auquel s’ajoute le prélèvement de 2,14 % au profit de l’État pour frais d’assiette et de recouvrement calculé sur le montant du droit départemental (soit un taux maximum de 0,01 %), soit globalement 0,715 % et exonérées de la taxe communale.</w:t>
      </w:r>
    </w:p>
    <w:p w14:paraId="5BF30BB3" w14:textId="77777777" w:rsidR="00D710ED" w:rsidRPr="00363864" w:rsidRDefault="00D710ED" w:rsidP="00D7464D">
      <w:pPr>
        <w:pStyle w:val="Paragraphe-CGPC"/>
      </w:pPr>
      <w:r w:rsidRPr="00363864">
        <w:t>Ce régime spécial concerne notamment :</w:t>
      </w:r>
    </w:p>
    <w:p w14:paraId="1614BB4E" w14:textId="77777777" w:rsidR="00D710ED" w:rsidRPr="00363864" w:rsidRDefault="00D710ED" w:rsidP="00D7464D">
      <w:pPr>
        <w:pStyle w:val="Paragraphe-CGPC"/>
      </w:pPr>
      <w:r w:rsidRPr="00363864">
        <w:t>les acquisitions d’immeubles ruraux par les fermiers, sous certaines conditions ;</w:t>
      </w:r>
    </w:p>
    <w:p w14:paraId="34625AAE" w14:textId="77777777" w:rsidR="00D710ED" w:rsidRPr="00363864" w:rsidRDefault="00D710ED" w:rsidP="00D7464D">
      <w:pPr>
        <w:pStyle w:val="Paragraphe-CGPC"/>
      </w:pPr>
      <w:r w:rsidRPr="00363864">
        <w:t>les acquisitions d’immeubles ruraux situés dans les territoires ruraux de développement prioritaire exploités par les jeunes agriculteurs;</w:t>
      </w:r>
    </w:p>
    <w:p w14:paraId="3C3D99A8" w14:textId="77777777" w:rsidR="00D710ED" w:rsidRPr="00363864" w:rsidRDefault="00D710ED" w:rsidP="00D7464D">
      <w:pPr>
        <w:pStyle w:val="Paragraphe-CGPC"/>
      </w:pPr>
      <w:r w:rsidRPr="00363864">
        <w:t>les achats d’immeubles donnants lieux au paiement de la TVA ;</w:t>
      </w:r>
    </w:p>
    <w:p w14:paraId="223C90B5" w14:textId="77777777" w:rsidR="00D710ED" w:rsidRPr="00363864" w:rsidRDefault="00D710ED" w:rsidP="00D7464D">
      <w:pPr>
        <w:pStyle w:val="Paragraphe-CGPC"/>
      </w:pPr>
      <w:r w:rsidRPr="00363864">
        <w:t>les achats effectués en vue de la revente par les marchands de biens…</w:t>
      </w:r>
    </w:p>
    <w:p w14:paraId="08883EF5" w14:textId="540C4935" w:rsidR="00D710ED" w:rsidRPr="00094683" w:rsidRDefault="00D710ED" w:rsidP="00A831FE">
      <w:pPr>
        <w:pStyle w:val="Titre2"/>
      </w:pPr>
      <w:bookmarkStart w:id="11" w:name="_Toc207194613"/>
      <w:r w:rsidRPr="00094683">
        <w:t>La publicité foncière</w:t>
      </w:r>
      <w:bookmarkEnd w:id="11"/>
      <w:r w:rsidRPr="00094683">
        <w:t> </w:t>
      </w:r>
    </w:p>
    <w:p w14:paraId="6DE3F041" w14:textId="77777777" w:rsidR="00D710ED" w:rsidRPr="00094683" w:rsidRDefault="00D710ED" w:rsidP="00D7464D">
      <w:pPr>
        <w:pStyle w:val="Paragraphe-CGPC"/>
      </w:pPr>
      <w:r w:rsidRPr="00094683">
        <w:t>Les actes constatant la constitution ou la transmission de droits réels immobiliers (vente d’un bien immobilier ou démembrement d’un bien, par exemple) doivent faire l’objet d’une publicité foncière.</w:t>
      </w:r>
    </w:p>
    <w:p w14:paraId="5C84D0BE" w14:textId="77777777" w:rsidR="00D710ED" w:rsidRPr="00094683" w:rsidRDefault="00D710ED" w:rsidP="00D7464D">
      <w:pPr>
        <w:pStyle w:val="Paragraphe-CGPC"/>
      </w:pPr>
      <w:r w:rsidRPr="00094683">
        <w:t>Le fichier immobilier tenu par l’administrateur des finances publiques (qui a remplacé le conservateur des hypothèques) est alors mis à jour et peut être consulté par des tiers.</w:t>
      </w:r>
    </w:p>
    <w:p w14:paraId="6E48EED9" w14:textId="77777777" w:rsidR="00D710ED" w:rsidRPr="00094683" w:rsidRDefault="00D710ED" w:rsidP="00D7464D">
      <w:pPr>
        <w:pStyle w:val="Paragraphe-CGPC"/>
      </w:pPr>
      <w:r w:rsidRPr="00094683">
        <w:t>La plupart des actes publiés au fichier immobilier font l’objet de la formalité dite fusionnée d’enregistrement et de publicité foncière. Cette formalité est accomplie au service de la publicité foncière avec un paiement unique.</w:t>
      </w:r>
    </w:p>
    <w:p w14:paraId="7EFFF543" w14:textId="77777777" w:rsidR="00D710ED" w:rsidRPr="00094683" w:rsidRDefault="00D710ED" w:rsidP="00D7464D">
      <w:pPr>
        <w:pStyle w:val="Paragraphe-CGPC"/>
      </w:pPr>
      <w:r w:rsidRPr="00094683">
        <w:t> </w:t>
      </w:r>
    </w:p>
    <w:p w14:paraId="2929BC10" w14:textId="77777777" w:rsidR="00EC642F" w:rsidRDefault="00EC642F" w:rsidP="00EC642F"/>
    <w:p w14:paraId="161C340E" w14:textId="77777777" w:rsidR="00EC642F" w:rsidRDefault="00EC642F" w:rsidP="00EC642F"/>
    <w:p w14:paraId="1B61E0DA" w14:textId="77777777" w:rsidR="00EC642F" w:rsidRDefault="00EC642F" w:rsidP="00EC642F"/>
    <w:p w14:paraId="18DFDD62" w14:textId="22E09091" w:rsidR="0039084D" w:rsidRDefault="0039084D">
      <w:pPr>
        <w:jc w:val="left"/>
      </w:pPr>
      <w:r>
        <w:br w:type="page"/>
      </w:r>
    </w:p>
    <w:p w14:paraId="1C16CBA4" w14:textId="39BC12BD" w:rsidR="00EC642F" w:rsidRDefault="0039084D" w:rsidP="00EC642F">
      <w:r>
        <w:rPr>
          <w:noProof/>
          <w14:ligatures w14:val="standardContextual"/>
        </w:rPr>
        <w:lastRenderedPageBreak/>
        <mc:AlternateContent>
          <mc:Choice Requires="wps">
            <w:drawing>
              <wp:anchor distT="0" distB="0" distL="114300" distR="114300" simplePos="0" relativeHeight="251658242" behindDoc="1" locked="0" layoutInCell="1" allowOverlap="1" wp14:anchorId="7F27C183" wp14:editId="2BEA3483">
                <wp:simplePos x="0" y="0"/>
                <wp:positionH relativeFrom="column">
                  <wp:posOffset>-876300</wp:posOffset>
                </wp:positionH>
                <wp:positionV relativeFrom="paragraph">
                  <wp:posOffset>-113030</wp:posOffset>
                </wp:positionV>
                <wp:extent cx="18002250" cy="8877300"/>
                <wp:effectExtent l="0" t="0" r="19050" b="19050"/>
                <wp:wrapNone/>
                <wp:docPr id="1640650639" name="Rectangle 3"/>
                <wp:cNvGraphicFramePr/>
                <a:graphic xmlns:a="http://schemas.openxmlformats.org/drawingml/2006/main">
                  <a:graphicData uri="http://schemas.microsoft.com/office/word/2010/wordprocessingShape">
                    <wps:wsp>
                      <wps:cNvSpPr/>
                      <wps:spPr>
                        <a:xfrm>
                          <a:off x="0" y="0"/>
                          <a:ext cx="18002250" cy="88773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8DA276" id="Rectangle 3" o:spid="_x0000_s1026" style="position:absolute;margin-left:-69pt;margin-top:-8.9pt;width:1417.5pt;height:699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" fillcolor="#4472c4 [3204]" strokecolor="#09101d [484]" strokeweight="1pt"/>
            </w:pict>
          </mc:Fallback>
        </mc:AlternateContent>
      </w:r>
    </w:p>
    <w:p w14:paraId="3EA9D690" w14:textId="77777777" w:rsidR="0039084D" w:rsidRDefault="0039084D" w:rsidP="00D7464D">
      <w:pPr>
        <w:pStyle w:val="Paragraphe-CGPC"/>
      </w:pPr>
    </w:p>
    <w:p w14:paraId="50B8E2F0" w14:textId="77777777" w:rsidR="0039084D" w:rsidRPr="0039084D" w:rsidRDefault="0039084D" w:rsidP="00D7464D">
      <w:pPr>
        <w:pStyle w:val="Paragraphe-CGPC"/>
      </w:pPr>
    </w:p>
    <w:p w14:paraId="379C362D" w14:textId="77777777" w:rsidR="00EC642F" w:rsidRDefault="00EC642F" w:rsidP="00EC642F"/>
    <w:p w14:paraId="21BF5BAE" w14:textId="77777777" w:rsidR="00EC642F" w:rsidRDefault="00EC642F" w:rsidP="00EC642F"/>
    <w:p w14:paraId="66CBF30D" w14:textId="77777777" w:rsidR="00EC642F" w:rsidRDefault="00EC642F" w:rsidP="00EC642F"/>
    <w:p w14:paraId="3BCB5983" w14:textId="77777777" w:rsidR="00EC642F" w:rsidRDefault="00EC642F" w:rsidP="00EC642F"/>
    <w:p w14:paraId="43E2CE1D" w14:textId="77777777" w:rsidR="00EC642F" w:rsidRDefault="00EC642F" w:rsidP="00EC642F"/>
    <w:p w14:paraId="6F7FED15" w14:textId="77777777" w:rsidR="00EC642F" w:rsidRDefault="00EC642F" w:rsidP="00EC642F"/>
    <w:p w14:paraId="2265EBFF" w14:textId="77777777" w:rsidR="00EC642F" w:rsidRDefault="00EC642F" w:rsidP="00EC642F"/>
    <w:p w14:paraId="217A4794" w14:textId="77777777" w:rsidR="00EC642F" w:rsidRDefault="00EC642F" w:rsidP="00EC642F"/>
    <w:p w14:paraId="3C71040D" w14:textId="3B1B4D89" w:rsidR="00EC642F" w:rsidRPr="00EC642F" w:rsidRDefault="00D710ED" w:rsidP="00EC642F">
      <w:pPr>
        <w:pStyle w:val="Titre1"/>
      </w:pPr>
      <w:bookmarkStart w:id="12" w:name="_Toc207194614"/>
      <w:r w:rsidRPr="00EC642F">
        <w:t>Taxation de la détention</w:t>
      </w:r>
      <w:bookmarkEnd w:id="12"/>
    </w:p>
    <w:p w14:paraId="67A93789" w14:textId="77777777" w:rsidR="00EC642F" w:rsidRDefault="00EC642F" w:rsidP="00D7464D">
      <w:pPr>
        <w:pStyle w:val="Paragraphe-CGPC"/>
        <w:rPr>
          <w:rFonts w:eastAsiaTheme="majorEastAsia"/>
          <w:color w:val="3A5D9C"/>
          <w:sz w:val="44"/>
          <w:szCs w:val="26"/>
        </w:rPr>
      </w:pPr>
      <w:r>
        <w:br w:type="page"/>
      </w:r>
    </w:p>
    <w:p w14:paraId="56B5322D" w14:textId="3C637B84" w:rsidR="00D710ED" w:rsidRPr="00094683" w:rsidRDefault="00D710ED" w:rsidP="003667DE">
      <w:pPr>
        <w:pStyle w:val="Titre2"/>
        <w:numPr>
          <w:ilvl w:val="0"/>
          <w:numId w:val="10"/>
        </w:numPr>
      </w:pPr>
      <w:bookmarkStart w:id="13" w:name="_Toc207194615"/>
      <w:r w:rsidRPr="00094683">
        <w:lastRenderedPageBreak/>
        <w:t>La taxe foncière</w:t>
      </w:r>
      <w:bookmarkEnd w:id="13"/>
    </w:p>
    <w:p w14:paraId="0052BED2" w14:textId="77777777" w:rsidR="00D710ED" w:rsidRPr="00094683" w:rsidRDefault="00D710ED" w:rsidP="00D7464D">
      <w:pPr>
        <w:pStyle w:val="Paragraphe-CGPC"/>
      </w:pPr>
      <w:r w:rsidRPr="00094683">
        <w:t>Les personnes imposables </w:t>
      </w:r>
    </w:p>
    <w:p w14:paraId="016F22EF" w14:textId="44E0D6FC" w:rsidR="00D710ED" w:rsidRPr="00094683" w:rsidRDefault="00D710ED" w:rsidP="003667DE">
      <w:pPr>
        <w:pStyle w:val="Titre3"/>
        <w:numPr>
          <w:ilvl w:val="0"/>
          <w:numId w:val="9"/>
        </w:numPr>
      </w:pPr>
      <w:bookmarkStart w:id="14" w:name="_Toc207194616"/>
      <w:r w:rsidRPr="00094683">
        <w:t>Principe</w:t>
      </w:r>
      <w:bookmarkEnd w:id="14"/>
    </w:p>
    <w:p w14:paraId="1F9BD77C" w14:textId="77777777" w:rsidR="00D710ED" w:rsidRPr="00094683" w:rsidRDefault="00D710ED" w:rsidP="00D7464D">
      <w:pPr>
        <w:pStyle w:val="Paragraphe-CGPC"/>
      </w:pPr>
      <w:r w:rsidRPr="00094683">
        <w:t>La taxe foncière est due par le propriétaire du bien immobilier dans la commune où il est situé à la date du 1er janvier de l’année d’imposition.</w:t>
      </w:r>
    </w:p>
    <w:p w14:paraId="38A67BCA" w14:textId="77777777" w:rsidR="00D710ED" w:rsidRPr="00094683" w:rsidRDefault="00D710ED" w:rsidP="00D7464D">
      <w:pPr>
        <w:pStyle w:val="Paragraphe-CGPC"/>
      </w:pPr>
      <w:r w:rsidRPr="00094683">
        <w:t>La taxe foncière est due par les redevables propriétaires :</w:t>
      </w:r>
    </w:p>
    <w:p w14:paraId="65E7B4F8" w14:textId="77777777" w:rsidR="00D710ED" w:rsidRPr="00094683" w:rsidRDefault="00D710ED" w:rsidP="00D7464D">
      <w:pPr>
        <w:pStyle w:val="Paragraphe-CGPC"/>
      </w:pPr>
      <w:r w:rsidRPr="00094683">
        <w:t>d’une </w:t>
      </w:r>
      <w:hyperlink r:id="rId10" w:history="1">
        <w:r w:rsidRPr="00094683">
          <w:rPr>
            <w:rStyle w:val="Lienhypertexte"/>
          </w:rPr>
          <w:t>propriété bâtie</w:t>
        </w:r>
      </w:hyperlink>
      <w:r w:rsidRPr="00094683">
        <w:t>: il s’agit des constructions qui peuvent avoir un usage d’habitation ou un usage professionnel ;</w:t>
      </w:r>
    </w:p>
    <w:p w14:paraId="05167DF7" w14:textId="77777777" w:rsidR="00D710ED" w:rsidRPr="00094683" w:rsidRDefault="00D710ED" w:rsidP="00D7464D">
      <w:pPr>
        <w:pStyle w:val="Paragraphe-CGPC"/>
      </w:pPr>
      <w:r w:rsidRPr="00094683">
        <w:t>d’une </w:t>
      </w:r>
      <w:hyperlink r:id="rId11" w:history="1">
        <w:r w:rsidRPr="00094683">
          <w:rPr>
            <w:rStyle w:val="Lienhypertexte"/>
          </w:rPr>
          <w:t>propriété non-bâtie</w:t>
        </w:r>
      </w:hyperlink>
      <w:r w:rsidRPr="00094683">
        <w:t> : les mines, les étangs, les terres rurales ou encore les marais salants.</w:t>
      </w:r>
    </w:p>
    <w:p w14:paraId="4AEB2779" w14:textId="77777777" w:rsidR="00D710ED" w:rsidRPr="00094683" w:rsidRDefault="00D710ED" w:rsidP="00D7464D">
      <w:pPr>
        <w:pStyle w:val="Paragraphe-CGPC"/>
      </w:pPr>
      <w:r w:rsidRPr="00094683">
        <w:t>La taxe foncière est calculée par l’administration fiscale à partir de trois éléments :</w:t>
      </w:r>
    </w:p>
    <w:p w14:paraId="3A563662" w14:textId="77777777" w:rsidR="00D710ED" w:rsidRPr="00094683" w:rsidRDefault="00D710ED" w:rsidP="00D7464D">
      <w:pPr>
        <w:pStyle w:val="Paragraphe-CGPC"/>
      </w:pPr>
      <w:r w:rsidRPr="00094683">
        <w:t>La valeur locative cadastrale de la propriété : elle correspond au montant d’un loyer théorique qui pourrait être appliqué si le bien immobilier était loué. Ce montant est déterminé en fonction d’un forfait revalorisé chaque année dans le but de prendre en compte l’évolution des loyers.</w:t>
      </w:r>
    </w:p>
    <w:p w14:paraId="187116E2" w14:textId="77777777" w:rsidR="00D710ED" w:rsidRPr="00094683" w:rsidRDefault="00D710ED" w:rsidP="00D7464D">
      <w:pPr>
        <w:pStyle w:val="Paragraphe-CGPC"/>
      </w:pPr>
      <w:r w:rsidRPr="00094683">
        <w:t>Le coefficient de revalorisation : il est voté chaque année par le Gouvernement lors du vote de la loi de finances.</w:t>
      </w:r>
    </w:p>
    <w:p w14:paraId="4587A84E" w14:textId="77777777" w:rsidR="00D710ED" w:rsidRPr="00094683" w:rsidRDefault="00D710ED" w:rsidP="00D7464D">
      <w:pPr>
        <w:pStyle w:val="Paragraphe-CGPC"/>
      </w:pPr>
      <w:r w:rsidRPr="00094683">
        <w:t>Le taux d’imposition voté par les collectivités locales : chaque année, les communes et les établissements publics de coopération intercommunale votent leur taux applicable pour le paiement de la taxe foncière.</w:t>
      </w:r>
    </w:p>
    <w:p w14:paraId="005087C4" w14:textId="77777777" w:rsidR="00D710ED" w:rsidRPr="00094683" w:rsidRDefault="00D710ED" w:rsidP="00D7464D">
      <w:pPr>
        <w:pStyle w:val="Paragraphe-CGPC"/>
      </w:pPr>
      <w:r w:rsidRPr="00094683">
        <w:t>Base d’imposition et montant de la taxe foncière</w:t>
      </w:r>
    </w:p>
    <w:p w14:paraId="2C750BFF" w14:textId="77777777" w:rsidR="00D710ED" w:rsidRPr="00094683" w:rsidRDefault="00D710ED" w:rsidP="00D7464D">
      <w:pPr>
        <w:pStyle w:val="Paragraphe-CGPC"/>
      </w:pPr>
      <w:r w:rsidRPr="00094683">
        <w:t>Le montant de la taxe foncière est égal à la base d’imposition x le taux d’imposition voté par la commune.</w:t>
      </w:r>
    </w:p>
    <w:p w14:paraId="215A0C68" w14:textId="77777777" w:rsidR="00D710ED" w:rsidRPr="00094683" w:rsidRDefault="00D710ED" w:rsidP="00D7464D">
      <w:pPr>
        <w:pStyle w:val="Paragraphe-CGPC"/>
      </w:pPr>
      <w:r w:rsidRPr="00094683">
        <w:t>Base d’imposition de la taxe foncière pour les propriétés bâties,</w:t>
      </w:r>
    </w:p>
    <w:p w14:paraId="169AC0AF" w14:textId="22B147C8" w:rsidR="00D710ED" w:rsidRPr="00094683" w:rsidRDefault="00D710ED" w:rsidP="00D7464D">
      <w:pPr>
        <w:pStyle w:val="Paragraphe-CGPC"/>
      </w:pPr>
      <w:r w:rsidRPr="00094683">
        <w:t xml:space="preserve">La base d’imposition est égale à 50 % de la valeur locative du bien immobilier. Pour les propriétés non-bâties, cette base d’imposition est égale à 80 % de la valeur locative du bien immobilier. A cette base d’imposition, il convient d’appliquer, que ce soit pour les propriétés bâties et non-bâties, </w:t>
      </w:r>
      <w:r w:rsidR="00853E7C">
        <w:t>un</w:t>
      </w:r>
      <w:r w:rsidRPr="00094683">
        <w:t xml:space="preserve"> taux de revalorisation</w:t>
      </w:r>
      <w:r w:rsidR="00853E7C">
        <w:t xml:space="preserve"> fixé annuellement </w:t>
      </w:r>
      <w:r w:rsidR="007961DC">
        <w:t>dans le cadre de la loi de finances.</w:t>
      </w:r>
    </w:p>
    <w:p w14:paraId="49DEB751" w14:textId="77777777" w:rsidR="00D710ED" w:rsidRPr="00094683" w:rsidRDefault="00D710ED" w:rsidP="00D7464D">
      <w:pPr>
        <w:pStyle w:val="Paragraphe-CGPC"/>
      </w:pPr>
      <w:r w:rsidRPr="00094683">
        <w:t>Application du taux des collectivités locales</w:t>
      </w:r>
    </w:p>
    <w:p w14:paraId="002B6BAE" w14:textId="77777777" w:rsidR="00D710ED" w:rsidRPr="00094683" w:rsidRDefault="00D710ED" w:rsidP="00D7464D">
      <w:pPr>
        <w:pStyle w:val="Paragraphe-CGPC"/>
      </w:pPr>
      <w:r w:rsidRPr="00094683">
        <w:lastRenderedPageBreak/>
        <w:t>Une fois la base d’imposition déterminée, il est nécessaire d’appliquer le taux voté par la collectivité locale pour connaître le montant de la taxe foncière à payer.</w:t>
      </w:r>
    </w:p>
    <w:p w14:paraId="1CCEB01B" w14:textId="77777777" w:rsidR="00D710ED" w:rsidRPr="00094683" w:rsidRDefault="00D710ED" w:rsidP="00D7464D">
      <w:pPr>
        <w:pStyle w:val="Paragraphe-CGPC"/>
      </w:pPr>
      <w:r w:rsidRPr="00094683">
        <w:t>Lorsque le bien est démembré, c’est l’usufruitier qui est redevable de la taxe foncière.</w:t>
      </w:r>
    </w:p>
    <w:p w14:paraId="4046B0A3" w14:textId="6A268A9E" w:rsidR="00D710ED" w:rsidRPr="00094683" w:rsidRDefault="00D710ED" w:rsidP="00D91602">
      <w:pPr>
        <w:pStyle w:val="Titre3"/>
      </w:pPr>
      <w:bookmarkStart w:id="15" w:name="_Toc207194617"/>
      <w:r w:rsidRPr="00094683">
        <w:t>Exonérations et dégrèvements</w:t>
      </w:r>
      <w:bookmarkEnd w:id="15"/>
    </w:p>
    <w:p w14:paraId="72F3213F" w14:textId="6455727A" w:rsidR="00D710ED" w:rsidRPr="00094683" w:rsidRDefault="00D710ED" w:rsidP="00D91602">
      <w:pPr>
        <w:pStyle w:val="Titre4"/>
      </w:pPr>
      <w:r w:rsidRPr="00094683">
        <w:t>L’exonération temporaire de deux ans</w:t>
      </w:r>
    </w:p>
    <w:p w14:paraId="744F6B64" w14:textId="77777777" w:rsidR="00D710ED" w:rsidRPr="00094683" w:rsidRDefault="00D710ED" w:rsidP="00D7464D">
      <w:pPr>
        <w:pStyle w:val="Paragraphe-CGPC"/>
      </w:pPr>
      <w:r w:rsidRPr="00094683">
        <w:t>Certains changements ouvrent droit, sous conditions, à une exonération temporaire de taxe foncière pendant les deux années qui suivent celle de leur réalisation définitive, ce sont :</w:t>
      </w:r>
    </w:p>
    <w:p w14:paraId="25D7BEC3" w14:textId="77777777" w:rsidR="00D710ED" w:rsidRPr="00094683" w:rsidRDefault="00D710ED" w:rsidP="00D7464D">
      <w:pPr>
        <w:pStyle w:val="Paragraphe-CGPC"/>
      </w:pPr>
      <w:r w:rsidRPr="00094683">
        <w:t>les constructions nouvelles ou reconstructions ;</w:t>
      </w:r>
    </w:p>
    <w:p w14:paraId="60BDF3D0" w14:textId="77777777" w:rsidR="00D710ED" w:rsidRPr="00094683" w:rsidRDefault="00D710ED" w:rsidP="00D7464D">
      <w:pPr>
        <w:pStyle w:val="Paragraphe-CGPC"/>
      </w:pPr>
      <w:r w:rsidRPr="00094683">
        <w:t>les additions de constructions ;</w:t>
      </w:r>
    </w:p>
    <w:p w14:paraId="723F5C82" w14:textId="77777777" w:rsidR="00D710ED" w:rsidRPr="00094683" w:rsidRDefault="00D710ED" w:rsidP="00D7464D">
      <w:pPr>
        <w:pStyle w:val="Paragraphe-CGPC"/>
      </w:pPr>
      <w:r w:rsidRPr="00094683">
        <w:t>certains changements d’affectation, limitativement énumérés par la loi, tels que la conversion d’un bâtiment rural en habitation, lorsque cette conversion s’accompagne de travaux importants de transformation , ou l’affectation d’un terrain à un usage commercial ou industriel.</w:t>
      </w:r>
    </w:p>
    <w:p w14:paraId="03CCE14A" w14:textId="77777777" w:rsidR="00D710ED" w:rsidRPr="00094683" w:rsidRDefault="00D710ED" w:rsidP="00D7464D">
      <w:pPr>
        <w:pStyle w:val="Paragraphe-CGPC"/>
      </w:pPr>
      <w:r w:rsidRPr="00094683">
        <w:t>L’exonération temporaire de deux ans est subordonnée à la déclaration du changement par le propriétaire, dans les 90 jours de sa réalisation définitive.</w:t>
      </w:r>
    </w:p>
    <w:p w14:paraId="65EB834F" w14:textId="78BBB632" w:rsidR="00D710ED" w:rsidRPr="00094683" w:rsidRDefault="00D710ED" w:rsidP="00D91602">
      <w:pPr>
        <w:pStyle w:val="Titre4"/>
      </w:pPr>
      <w:r w:rsidRPr="00094683">
        <w:t>L’exonération spéciale en faveur des personnes âgées ou en situation de handicap et de condition modeste </w:t>
      </w:r>
    </w:p>
    <w:p w14:paraId="17196D15" w14:textId="77777777" w:rsidR="00D710ED" w:rsidRPr="00094683" w:rsidRDefault="00D710ED" w:rsidP="00D7464D">
      <w:pPr>
        <w:pStyle w:val="Paragraphe-CGPC"/>
      </w:pPr>
      <w:r w:rsidRPr="00094683">
        <w:t>Certains propriétaires sont exonérés en totalité de taxe foncière pour leur habitation principale. Cette exonération est accordée de plein droit sous trois conditions.</w:t>
      </w:r>
    </w:p>
    <w:p w14:paraId="457A6A03" w14:textId="77777777" w:rsidR="00D710ED" w:rsidRPr="00094683" w:rsidRDefault="00D710ED" w:rsidP="00D7464D">
      <w:pPr>
        <w:pStyle w:val="Paragraphe-CGPC"/>
      </w:pPr>
      <w:r w:rsidRPr="00094683">
        <w:t>Conditions relatives à l’occupant </w:t>
      </w:r>
    </w:p>
    <w:p w14:paraId="0441D574" w14:textId="77777777" w:rsidR="00D710ED" w:rsidRPr="00094683" w:rsidRDefault="00D710ED" w:rsidP="00D7464D">
      <w:pPr>
        <w:pStyle w:val="Paragraphe-CGPC"/>
      </w:pPr>
      <w:r w:rsidRPr="00094683">
        <w:t> Sont exonérés :</w:t>
      </w:r>
    </w:p>
    <w:p w14:paraId="6CA666E1" w14:textId="77777777" w:rsidR="00D710ED" w:rsidRPr="00094683" w:rsidRDefault="00D710ED" w:rsidP="00D7464D">
      <w:pPr>
        <w:pStyle w:val="Paragraphe-CGPC"/>
      </w:pPr>
      <w:r w:rsidRPr="00094683">
        <w:t>les titulaires de l’allocation de solidarité aux personnes âgées et de l’allocation supplémentaire d’invalidité ;</w:t>
      </w:r>
    </w:p>
    <w:p w14:paraId="46C5B83B" w14:textId="77777777" w:rsidR="00D710ED" w:rsidRPr="00094683" w:rsidRDefault="00D710ED" w:rsidP="00D7464D">
      <w:pPr>
        <w:pStyle w:val="Paragraphe-CGPC"/>
      </w:pPr>
      <w:r w:rsidRPr="00094683">
        <w:lastRenderedPageBreak/>
        <w:t>les redevables âgés de plus de 75 ans au 1er janvier de l’année de l’imposition, lorsque le montant de leur revenu fiscal de référence (RFR) de l’année précédente n’excède pas la limite prévue à l’article </w:t>
      </w:r>
      <w:hyperlink r:id="rId12" w:history="1">
        <w:r w:rsidRPr="00094683">
          <w:rPr>
            <w:rStyle w:val="Lienhypertexte"/>
          </w:rPr>
          <w:t>1417-I du CGI</w:t>
        </w:r>
      </w:hyperlink>
      <w:r w:rsidRPr="00094683">
        <w:t> ;</w:t>
      </w:r>
    </w:p>
    <w:p w14:paraId="2A3977E4" w14:textId="77777777" w:rsidR="00D710ED" w:rsidRPr="00094683" w:rsidRDefault="00D710ED" w:rsidP="00D7464D">
      <w:pPr>
        <w:pStyle w:val="Paragraphe-CGPC"/>
      </w:pPr>
      <w:r w:rsidRPr="00094683">
        <w:t>les titulaires de l’allocation aux adultes handicapés, lorsque le montant de leur revenu fiscal de référence de l’année précédente n’excède pas la limite prévue à l’article </w:t>
      </w:r>
      <w:hyperlink r:id="rId13" w:history="1">
        <w:r w:rsidRPr="00094683">
          <w:rPr>
            <w:rStyle w:val="Lienhypertexte"/>
          </w:rPr>
          <w:t>1417-I du CGI</w:t>
        </w:r>
      </w:hyperlink>
      <w:r w:rsidRPr="00094683">
        <w:t>.</w:t>
      </w:r>
    </w:p>
    <w:p w14:paraId="79B9321A" w14:textId="77777777" w:rsidR="00D710ED" w:rsidRPr="00094683" w:rsidRDefault="00D710ED" w:rsidP="00D7464D">
      <w:pPr>
        <w:pStyle w:val="Paragraphe-CGPC"/>
      </w:pPr>
      <w:r w:rsidRPr="00094683">
        <w:t>Les propriétaires mentionnés ci-dessus sont exonérés de taxe foncière pour leur habitation principale, même lorsqu’ils sont hébergés durablement dans une maison de retraite ou un établissement de soins de longue durée, à condition que le logement qui constituait leur résidence principale reste libre de toute occupation. De plus, la jurisprudence Friteau (CE 20 octobre 2000 n° 205635) étend le bénéfice de l’exonération à la résidence secondaire pour les personnes âgées de plus de 75 ans satisfaisant les conditions de RFR et d’occupation du logement.</w:t>
      </w:r>
    </w:p>
    <w:p w14:paraId="50C40C33" w14:textId="77777777" w:rsidR="00D710ED" w:rsidRPr="00094683" w:rsidRDefault="00D710ED" w:rsidP="00D7464D">
      <w:pPr>
        <w:pStyle w:val="Paragraphe-CGPC"/>
      </w:pPr>
      <w:r w:rsidRPr="00094683">
        <w:t>Conditions de ressources</w:t>
      </w:r>
    </w:p>
    <w:p w14:paraId="0C14EB01" w14:textId="77777777" w:rsidR="00D710ED" w:rsidRPr="00094683" w:rsidRDefault="00D710ED" w:rsidP="00D7464D">
      <w:pPr>
        <w:pStyle w:val="Paragraphe-CGPC"/>
      </w:pPr>
      <w:r w:rsidRPr="00094683">
        <w:t>Le revenu fiscal de référence de l’année précédente ne doit pas excéder les limites de revenus fixées par l’article </w:t>
      </w:r>
      <w:hyperlink r:id="rId14" w:history="1">
        <w:r w:rsidRPr="00094683">
          <w:rPr>
            <w:rStyle w:val="Lienhypertexte"/>
          </w:rPr>
          <w:t>1417-I du CGI</w:t>
        </w:r>
      </w:hyperlink>
      <w:r w:rsidRPr="00094683">
        <w:t>  (voir ci-desous)</w:t>
      </w:r>
    </w:p>
    <w:p w14:paraId="19883D1D" w14:textId="77777777" w:rsidR="00D710ED" w:rsidRPr="00094683" w:rsidRDefault="00D710ED" w:rsidP="00D7464D">
      <w:pPr>
        <w:pStyle w:val="Paragraphe-CGPC"/>
      </w:pPr>
      <w:r w:rsidRPr="00094683">
        <w:t>Condition de cohabitation</w:t>
      </w:r>
    </w:p>
    <w:p w14:paraId="1A9D3A69" w14:textId="77777777" w:rsidR="00D710ED" w:rsidRPr="00094683" w:rsidRDefault="00D710ED" w:rsidP="00D7464D">
      <w:pPr>
        <w:pStyle w:val="Paragraphe-CGPC"/>
      </w:pPr>
      <w:r w:rsidRPr="00094683">
        <w:t>Le bénéficiaire doit vivre seul, ou avec son conjoint, ou avec des personnes à charge au sens de l’impôt sur le revenu, ou avec des personnes titulaires de la même allocation ou avec des personnes respectant la limite de RFR de l’art. </w:t>
      </w:r>
      <w:hyperlink r:id="rId15" w:history="1">
        <w:r w:rsidRPr="00094683">
          <w:rPr>
            <w:rStyle w:val="Lienhypertexte"/>
          </w:rPr>
          <w:t>1417 -I du CGI</w:t>
        </w:r>
      </w:hyperlink>
      <w:r w:rsidRPr="00094683">
        <w:t>. </w:t>
      </w:r>
    </w:p>
    <w:p w14:paraId="1CD67C74" w14:textId="05367968" w:rsidR="00D710ED" w:rsidRPr="00094683" w:rsidRDefault="00D710ED" w:rsidP="00D91602">
      <w:pPr>
        <w:pStyle w:val="Titre4"/>
      </w:pPr>
      <w:r w:rsidRPr="00094683">
        <w:t>Les propriétés imposables</w:t>
      </w:r>
    </w:p>
    <w:p w14:paraId="6B712B5B" w14:textId="77777777" w:rsidR="00D710ED" w:rsidRPr="00094683" w:rsidRDefault="00D710ED" w:rsidP="00D7464D">
      <w:pPr>
        <w:pStyle w:val="Paragraphe-CGPC"/>
      </w:pPr>
      <w:r w:rsidRPr="00094683">
        <w:t>Principe</w:t>
      </w:r>
    </w:p>
    <w:p w14:paraId="6F992B41" w14:textId="77777777" w:rsidR="00D710ED" w:rsidRPr="00094683" w:rsidRDefault="00D710ED" w:rsidP="00D7464D">
      <w:pPr>
        <w:pStyle w:val="Paragraphe-CGPC"/>
      </w:pPr>
      <w:r w:rsidRPr="00094683">
        <w:t>La propriété doit remplir les 2 conditions suivantes :</w:t>
      </w:r>
    </w:p>
    <w:p w14:paraId="621D5DB7" w14:textId="77777777" w:rsidR="00D710ED" w:rsidRPr="00094683" w:rsidRDefault="00D710ED" w:rsidP="00D7464D">
      <w:pPr>
        <w:pStyle w:val="Paragraphe-CGPC"/>
      </w:pPr>
      <w:r w:rsidRPr="00094683">
        <w:t>être fixée au sol (il doit être impossible de la déplacer sans la démolir),</w:t>
      </w:r>
    </w:p>
    <w:p w14:paraId="1BA10E20" w14:textId="77777777" w:rsidR="00D710ED" w:rsidRPr="00094683" w:rsidRDefault="00D710ED" w:rsidP="00D7464D">
      <w:pPr>
        <w:pStyle w:val="Paragraphe-CGPC"/>
      </w:pPr>
      <w:r w:rsidRPr="00094683">
        <w:t>présenter le caractère de véritable bâtiment, y compris les aménagements faisant corps avec elle.</w:t>
      </w:r>
    </w:p>
    <w:p w14:paraId="0CA79089" w14:textId="77777777" w:rsidR="00D710ED" w:rsidRPr="00094683" w:rsidRDefault="00D710ED" w:rsidP="00D7464D">
      <w:pPr>
        <w:pStyle w:val="Paragraphe-CGPC"/>
      </w:pPr>
      <w:r w:rsidRPr="00094683">
        <w:t>Par conséquent, les baraquements mobiles et les caravanes sont exonérés, sauf s’ils sont fixés par des attaches en maçonnerie.</w:t>
      </w:r>
    </w:p>
    <w:p w14:paraId="13608002" w14:textId="77777777" w:rsidR="00D710ED" w:rsidRPr="00094683" w:rsidRDefault="00D710ED" w:rsidP="00D7464D">
      <w:pPr>
        <w:pStyle w:val="Paragraphe-CGPC"/>
      </w:pPr>
      <w:r w:rsidRPr="00094683">
        <w:t>Les principaux </w:t>
      </w:r>
      <w:hyperlink r:id="rId16" w:history="1">
        <w:r w:rsidRPr="00094683">
          <w:rPr>
            <w:rStyle w:val="Lienhypertexte"/>
          </w:rPr>
          <w:t>biens immeubles</w:t>
        </w:r>
      </w:hyperlink>
      <w:r w:rsidRPr="00094683">
        <w:t> imposables sont les suivants :</w:t>
      </w:r>
    </w:p>
    <w:p w14:paraId="781B94F4" w14:textId="77777777" w:rsidR="00D710ED" w:rsidRPr="00094683" w:rsidRDefault="00D710ED" w:rsidP="00D7464D">
      <w:pPr>
        <w:pStyle w:val="Paragraphe-CGPC"/>
      </w:pPr>
      <w:r w:rsidRPr="00094683">
        <w:t>local d’habitation,</w:t>
      </w:r>
    </w:p>
    <w:p w14:paraId="552E58BD" w14:textId="77777777" w:rsidR="00D710ED" w:rsidRPr="00094683" w:rsidRDefault="00D710ED" w:rsidP="00D7464D">
      <w:pPr>
        <w:pStyle w:val="Paragraphe-CGPC"/>
      </w:pPr>
      <w:r w:rsidRPr="00094683">
        <w:t>parking,</w:t>
      </w:r>
    </w:p>
    <w:p w14:paraId="6E0F2D7D" w14:textId="77777777" w:rsidR="00D710ED" w:rsidRPr="00094683" w:rsidRDefault="00D710ED" w:rsidP="00D7464D">
      <w:pPr>
        <w:pStyle w:val="Paragraphe-CGPC"/>
      </w:pPr>
      <w:r w:rsidRPr="00094683">
        <w:t>sol des bâtiments et terrains formant une dépendance indispensable et immédiate d’une construction,</w:t>
      </w:r>
    </w:p>
    <w:p w14:paraId="575104A7" w14:textId="77777777" w:rsidR="00D710ED" w:rsidRPr="00094683" w:rsidRDefault="00D710ED" w:rsidP="00D7464D">
      <w:pPr>
        <w:pStyle w:val="Paragraphe-CGPC"/>
      </w:pPr>
      <w:r w:rsidRPr="00094683">
        <w:lastRenderedPageBreak/>
        <w:t>bateau utilisé en un point fixe et aménagé pour l’habitation, le commerce ou l’industrie,</w:t>
      </w:r>
    </w:p>
    <w:p w14:paraId="5A2C5867" w14:textId="77777777" w:rsidR="00D710ED" w:rsidRPr="00094683" w:rsidRDefault="00D710ED" w:rsidP="00D7464D">
      <w:pPr>
        <w:pStyle w:val="Paragraphe-CGPC"/>
      </w:pPr>
      <w:r w:rsidRPr="00094683">
        <w:t>bâtiment commercial, industriel ou professionnel,</w:t>
      </w:r>
    </w:p>
    <w:p w14:paraId="72484A2C" w14:textId="77777777" w:rsidR="00D710ED" w:rsidRPr="00094683" w:rsidRDefault="00D710ED" w:rsidP="00D7464D">
      <w:pPr>
        <w:pStyle w:val="Paragraphe-CGPC"/>
      </w:pPr>
      <w:r w:rsidRPr="00094683">
        <w:t>installation industrielle ou commerciale (hangar, atelier, cuve, etc.),</w:t>
      </w:r>
    </w:p>
    <w:p w14:paraId="5A526342" w14:textId="77777777" w:rsidR="00D710ED" w:rsidRPr="00094683" w:rsidRDefault="00D710ED" w:rsidP="00D7464D">
      <w:pPr>
        <w:pStyle w:val="Paragraphe-CGPC"/>
      </w:pPr>
      <w:r w:rsidRPr="00094683">
        <w:t>terrain à usage commercial ou industriel ou utilisé, dans certaines conditions, pour la publicité.</w:t>
      </w:r>
    </w:p>
    <w:p w14:paraId="25B6BCC3" w14:textId="77777777" w:rsidR="00D710ED" w:rsidRPr="00094683" w:rsidRDefault="00D710ED" w:rsidP="00D7464D">
      <w:pPr>
        <w:pStyle w:val="Paragraphe-CGPC"/>
      </w:pPr>
      <w:r w:rsidRPr="00094683">
        <w:t>Sont exonérés :</w:t>
      </w:r>
    </w:p>
    <w:p w14:paraId="6E7439E3" w14:textId="6888808E" w:rsidR="00D710ED" w:rsidRPr="00094683" w:rsidRDefault="00D710ED" w:rsidP="00D7464D">
      <w:pPr>
        <w:pStyle w:val="Paragraphe-CGPC"/>
      </w:pPr>
      <w:r w:rsidRPr="00094683">
        <w:rPr>
          <w:noProof/>
        </w:rPr>
        <w:drawing>
          <wp:inline distT="0" distB="0" distL="0" distR="0" wp14:anchorId="27A3ECBE" wp14:editId="3EA73DDD">
            <wp:extent cx="7082017" cy="5095875"/>
            <wp:effectExtent l="0" t="0" r="5080" b="0"/>
            <wp:docPr id="1200594466" name="Image 39" descr="Une image contenant texte, capture d’écran, Police, no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594466" name="Image 39" descr="Une image contenant texte, capture d’écran, Police, nombr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095285" cy="5105422"/>
                    </a:xfrm>
                    <a:prstGeom prst="rect">
                      <a:avLst/>
                    </a:prstGeom>
                    <a:noFill/>
                    <a:ln>
                      <a:noFill/>
                    </a:ln>
                  </pic:spPr>
                </pic:pic>
              </a:graphicData>
            </a:graphic>
          </wp:inline>
        </w:drawing>
      </w:r>
    </w:p>
    <w:p w14:paraId="7BDDAA61" w14:textId="77777777" w:rsidR="00D710ED" w:rsidRPr="00094683" w:rsidRDefault="00D710ED" w:rsidP="00D7464D">
      <w:pPr>
        <w:pStyle w:val="Paragraphe-CGPC"/>
      </w:pPr>
      <w:hyperlink r:id="rId18" w:history="1">
        <w:r w:rsidRPr="00094683">
          <w:rPr>
            <w:rStyle w:val="Lienhypertexte"/>
          </w:rPr>
          <w:t>https://www.service-public.fr/particuliers/vosdroits/F59</w:t>
        </w:r>
      </w:hyperlink>
    </w:p>
    <w:p w14:paraId="01DE4141" w14:textId="77777777" w:rsidR="00D710ED" w:rsidRPr="00094683" w:rsidRDefault="00D710ED" w:rsidP="00D7464D">
      <w:pPr>
        <w:pStyle w:val="Paragraphe-CGPC"/>
      </w:pPr>
      <w:r w:rsidRPr="00094683">
        <w:t>Certains biens vacants depuis au moins 3 mois ouvrent également droit à un dégrèvement, qu’il s’agisse d’une maison destinée à la location ou de l’inexploitation d’un immeuble à usage commercial ou industriel utilisé par le propriétaire lui-même, dans la mesure où la vacance est indépendante de la volonté du propriétaire.</w:t>
      </w:r>
    </w:p>
    <w:p w14:paraId="467A1163" w14:textId="380D8992" w:rsidR="00D710ED" w:rsidRPr="00094683" w:rsidRDefault="00D710ED" w:rsidP="00A831FE">
      <w:pPr>
        <w:pStyle w:val="Titre2"/>
      </w:pPr>
      <w:bookmarkStart w:id="16" w:name="_Toc207194618"/>
      <w:r w:rsidRPr="00094683">
        <w:lastRenderedPageBreak/>
        <w:t>Autres taxes</w:t>
      </w:r>
      <w:bookmarkEnd w:id="16"/>
    </w:p>
    <w:p w14:paraId="53F9D457" w14:textId="77777777" w:rsidR="00D710ED" w:rsidRPr="00094683" w:rsidRDefault="00D710ED" w:rsidP="00D7464D">
      <w:pPr>
        <w:pStyle w:val="Paragraphe-CGPC"/>
      </w:pPr>
      <w:r w:rsidRPr="00094683">
        <w:t>La TEOM est due pour toute propriété soumise à la </w:t>
      </w:r>
      <w:hyperlink r:id="rId19" w:history="1">
        <w:r w:rsidRPr="00094683">
          <w:rPr>
            <w:rStyle w:val="Lienhypertexte"/>
          </w:rPr>
          <w:t>taxe foncière sur les propriétés bâties</w:t>
        </w:r>
      </w:hyperlink>
      <w:r w:rsidRPr="00094683">
        <w:t> ou qui en est exonérée temporairement (construction nouvelle par exemple). Cette taxe est due par les propriétaires et les usufruitiers. En cas de location d’un bien immobilier, le propriétaire récupère le montant de la taxe dans les charges locatives (sauf les frais de gestion).</w:t>
      </w:r>
    </w:p>
    <w:p w14:paraId="3253E220" w14:textId="77777777" w:rsidR="00D710ED" w:rsidRPr="00094683" w:rsidRDefault="00D710ED" w:rsidP="00D7464D">
      <w:pPr>
        <w:pStyle w:val="Paragraphe-CGPC"/>
      </w:pPr>
      <w:r w:rsidRPr="00094683">
        <w:t>La TEOM est calculée sur la même base que la taxe foncière, c’est-à-dire la moitié de la valeur locative cadastrale de la propriété.</w:t>
      </w:r>
    </w:p>
    <w:p w14:paraId="5716BB44" w14:textId="756C98E6" w:rsidR="00EC642F" w:rsidRDefault="00D710ED" w:rsidP="00D7464D">
      <w:pPr>
        <w:pStyle w:val="Paragraphe-CGPC"/>
      </w:pPr>
      <w:r w:rsidRPr="00094683">
        <w:t>Le montant de la taxe est égal à la base retenue multipliée par le taux fixé par la collectivité.</w:t>
      </w:r>
    </w:p>
    <w:p w14:paraId="6232960E" w14:textId="77777777" w:rsidR="00EC642F" w:rsidRDefault="00EC642F" w:rsidP="00D7464D">
      <w:pPr>
        <w:pStyle w:val="Paragraphe-CGPC"/>
      </w:pPr>
      <w:r>
        <w:br w:type="page"/>
      </w:r>
    </w:p>
    <w:p w14:paraId="1E4C6FE0" w14:textId="72A487FB" w:rsidR="00D710ED" w:rsidRPr="00094683" w:rsidRDefault="0039084D" w:rsidP="00D7464D">
      <w:pPr>
        <w:pStyle w:val="Paragraphe-CGPC"/>
      </w:pPr>
      <w:r>
        <w:rPr>
          <w:noProof/>
          <w:bdr w:val="none" w:sz="0" w:space="0" w:color="auto"/>
        </w:rPr>
        <w:lastRenderedPageBreak/>
        <mc:AlternateContent>
          <mc:Choice Requires="wps">
            <w:drawing>
              <wp:anchor distT="0" distB="0" distL="114300" distR="114300" simplePos="0" relativeHeight="251658243" behindDoc="1" locked="0" layoutInCell="1" allowOverlap="1" wp14:anchorId="2D01A70A" wp14:editId="4E842211">
                <wp:simplePos x="0" y="0"/>
                <wp:positionH relativeFrom="column">
                  <wp:posOffset>-914400</wp:posOffset>
                </wp:positionH>
                <wp:positionV relativeFrom="paragraph">
                  <wp:posOffset>-113030</wp:posOffset>
                </wp:positionV>
                <wp:extent cx="17602200" cy="8877300"/>
                <wp:effectExtent l="0" t="0" r="19050" b="19050"/>
                <wp:wrapNone/>
                <wp:docPr id="1664682975" name="Rectangle 4"/>
                <wp:cNvGraphicFramePr/>
                <a:graphic xmlns:a="http://schemas.openxmlformats.org/drawingml/2006/main">
                  <a:graphicData uri="http://schemas.microsoft.com/office/word/2010/wordprocessingShape">
                    <wps:wsp>
                      <wps:cNvSpPr/>
                      <wps:spPr>
                        <a:xfrm>
                          <a:off x="0" y="0"/>
                          <a:ext cx="17602200" cy="88773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B43F47" id="Rectangle 4" o:spid="_x0000_s1026" style="position:absolute;margin-left:-1in;margin-top:-8.9pt;width:1386pt;height:699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" fillcolor="#4472c4 [3204]" strokecolor="#09101d [484]" strokeweight="1pt"/>
            </w:pict>
          </mc:Fallback>
        </mc:AlternateContent>
      </w:r>
    </w:p>
    <w:p w14:paraId="1E1B1126" w14:textId="346D3074" w:rsidR="00D710ED" w:rsidRPr="00094683" w:rsidRDefault="00D710ED" w:rsidP="00D7464D">
      <w:pPr>
        <w:pStyle w:val="Paragraphe-CGPC"/>
      </w:pPr>
    </w:p>
    <w:p w14:paraId="07E12799" w14:textId="5BE89533" w:rsidR="00D710ED" w:rsidRPr="00094683" w:rsidRDefault="00D710ED" w:rsidP="00D7464D">
      <w:pPr>
        <w:pStyle w:val="Paragraphe-CGPC"/>
      </w:pPr>
      <w:r w:rsidRPr="00094683">
        <w:t> </w:t>
      </w:r>
    </w:p>
    <w:p w14:paraId="30A1EB18" w14:textId="77777777" w:rsidR="009E06B2" w:rsidRDefault="009E06B2" w:rsidP="009E06B2"/>
    <w:p w14:paraId="6EC516D6" w14:textId="77777777" w:rsidR="009E06B2" w:rsidRDefault="009E06B2" w:rsidP="009E06B2"/>
    <w:p w14:paraId="0C0D4B87" w14:textId="77777777" w:rsidR="009E06B2" w:rsidRDefault="009E06B2" w:rsidP="009E06B2"/>
    <w:p w14:paraId="16A72891" w14:textId="77777777" w:rsidR="009E06B2" w:rsidRDefault="009E06B2" w:rsidP="009E06B2"/>
    <w:p w14:paraId="1EAEB0D2" w14:textId="77777777" w:rsidR="009E06B2" w:rsidRDefault="009E06B2" w:rsidP="009E06B2"/>
    <w:p w14:paraId="6CAC4674" w14:textId="77777777" w:rsidR="009E06B2" w:rsidRDefault="009E06B2" w:rsidP="009E06B2"/>
    <w:p w14:paraId="30900088" w14:textId="77777777" w:rsidR="009E06B2" w:rsidRDefault="009E06B2" w:rsidP="009E06B2"/>
    <w:p w14:paraId="564E0DCF" w14:textId="77777777" w:rsidR="009E06B2" w:rsidRDefault="009E06B2" w:rsidP="009E06B2"/>
    <w:p w14:paraId="123EB1B7" w14:textId="77777777" w:rsidR="009E06B2" w:rsidRDefault="009E06B2" w:rsidP="009E06B2"/>
    <w:p w14:paraId="79976591" w14:textId="0B74932C" w:rsidR="00EC642F" w:rsidRPr="009E06B2" w:rsidRDefault="00D710ED" w:rsidP="009E06B2">
      <w:pPr>
        <w:pStyle w:val="Titre1"/>
      </w:pPr>
      <w:bookmarkStart w:id="17" w:name="_Toc207194619"/>
      <w:r w:rsidRPr="009E06B2">
        <w:t>Taxation des revenus fonciers</w:t>
      </w:r>
      <w:bookmarkEnd w:id="17"/>
      <w:r w:rsidRPr="009E06B2">
        <w:t> </w:t>
      </w:r>
    </w:p>
    <w:p w14:paraId="582C4A84" w14:textId="77777777" w:rsidR="00EC642F" w:rsidRDefault="00EC642F" w:rsidP="00D7464D">
      <w:pPr>
        <w:pStyle w:val="Paragraphe-CGPC"/>
        <w:rPr>
          <w:rFonts w:eastAsiaTheme="majorEastAsia"/>
          <w:color w:val="3A5D9C"/>
          <w:sz w:val="44"/>
          <w:szCs w:val="26"/>
        </w:rPr>
      </w:pPr>
      <w:r>
        <w:br w:type="page"/>
      </w:r>
    </w:p>
    <w:p w14:paraId="40206330" w14:textId="77777777" w:rsidR="00D710ED" w:rsidRPr="00E67E4C" w:rsidRDefault="00D710ED" w:rsidP="00D7464D">
      <w:pPr>
        <w:pStyle w:val="Paragraphe-CGPC"/>
      </w:pPr>
      <w:r w:rsidRPr="00E67E4C">
        <w:lastRenderedPageBreak/>
        <w:t>Les revenus fonciers constituent l’une des catégories de revenus soumis à l’IR. Ils concernent les ressources tirées de la location d’immeubles appartenant aux membres (ou à l’un des membres) du foyer fiscal.</w:t>
      </w:r>
    </w:p>
    <w:p w14:paraId="3589F77D" w14:textId="77777777" w:rsidR="00D710ED" w:rsidRPr="00E67E4C" w:rsidRDefault="00D710ED" w:rsidP="00D7464D">
      <w:pPr>
        <w:pStyle w:val="Paragraphe-CGPC"/>
      </w:pPr>
      <w:r w:rsidRPr="00E67E4C">
        <w:t>Dans le cas d’un bien loué en indivision, chaque co-indivisaire doit déclarer les revenus touchés à hauteur de sa quote-part dans l’indivision, au prorata des loyers, et des charges.</w:t>
      </w:r>
    </w:p>
    <w:p w14:paraId="08E84217" w14:textId="77777777" w:rsidR="00D710ED" w:rsidRPr="00E67E4C" w:rsidRDefault="00D710ED" w:rsidP="00D7464D">
      <w:pPr>
        <w:pStyle w:val="Paragraphe-CGPC"/>
      </w:pPr>
      <w:r w:rsidRPr="00E67E4C">
        <w:t>La catégorie des revenus fonciers englobe tous les revenus issus :</w:t>
      </w:r>
    </w:p>
    <w:p w14:paraId="513C315D" w14:textId="7B76F329" w:rsidR="00D710ED" w:rsidRPr="00E67E4C" w:rsidRDefault="00D710ED" w:rsidP="00D7464D">
      <w:pPr>
        <w:pStyle w:val="Paragraphe-CGPC"/>
      </w:pPr>
      <w:r w:rsidRPr="00E67E4C">
        <w:t>De la location d’immeubles bâtis</w:t>
      </w:r>
      <w:r w:rsidR="002C117F">
        <w:t xml:space="preserve"> </w:t>
      </w:r>
      <w:r w:rsidRPr="00E67E4C">
        <w:t>(quelle que soit leur destination) ;</w:t>
      </w:r>
    </w:p>
    <w:p w14:paraId="0D3EA1CB" w14:textId="1D5B680E" w:rsidR="00D710ED" w:rsidRPr="00E67E4C" w:rsidRDefault="00D710ED" w:rsidP="00D7464D">
      <w:pPr>
        <w:pStyle w:val="Paragraphe-CGPC"/>
      </w:pPr>
      <w:r w:rsidRPr="00E67E4C">
        <w:t>De la location de propriétés non bâties</w:t>
      </w:r>
      <w:r w:rsidR="002C117F">
        <w:t xml:space="preserve"> </w:t>
      </w:r>
      <w:r w:rsidRPr="00E67E4C">
        <w:t>(quelle que soit leur nature),</w:t>
      </w:r>
      <w:r w:rsidR="00FC262E">
        <w:t xml:space="preserve"> </w:t>
      </w:r>
      <w:r w:rsidRPr="00E67E4C">
        <w:t>dès lors que ces revenus n’entrent pas dans les bénéfices d’une entreprise industrielle, commerciale, libérale ou d’une exploitation agricole auquel cas ils feraient partie intégrante de l’imposition des revenus professionnels.</w:t>
      </w:r>
    </w:p>
    <w:p w14:paraId="36D19687" w14:textId="77777777" w:rsidR="00D710ED" w:rsidRPr="00E67E4C" w:rsidRDefault="00D710ED" w:rsidP="00D7464D">
      <w:pPr>
        <w:pStyle w:val="Paragraphe-CGPC"/>
      </w:pPr>
      <w:r w:rsidRPr="00E67E4C">
        <w:t>Ces revenus peuvent être perçus directement par une personne physique ou par l’intermédiaire d’une société immobilière qui a pour objet de gérer et de donner en location un patrimoine immobilier (SCI, SCPI…).</w:t>
      </w:r>
    </w:p>
    <w:p w14:paraId="21889236" w14:textId="7400F884" w:rsidR="00D710ED" w:rsidRPr="00E67E4C" w:rsidRDefault="00D710ED" w:rsidP="003667DE">
      <w:pPr>
        <w:pStyle w:val="Titre2"/>
        <w:numPr>
          <w:ilvl w:val="0"/>
          <w:numId w:val="11"/>
        </w:numPr>
      </w:pPr>
      <w:bookmarkStart w:id="18" w:name="_Toc207194620"/>
      <w:r w:rsidRPr="00E67E4C">
        <w:t>Le régime “micro foncier”</w:t>
      </w:r>
      <w:bookmarkEnd w:id="18"/>
    </w:p>
    <w:p w14:paraId="1EA5014E" w14:textId="644AC721" w:rsidR="00D710ED" w:rsidRPr="003667DE" w:rsidRDefault="00D710ED" w:rsidP="003667DE">
      <w:pPr>
        <w:pStyle w:val="Titre3"/>
        <w:numPr>
          <w:ilvl w:val="0"/>
          <w:numId w:val="6"/>
        </w:numPr>
      </w:pPr>
      <w:bookmarkStart w:id="19" w:name="_Toc207194621"/>
      <w:r w:rsidRPr="003667DE">
        <w:t>Conditions</w:t>
      </w:r>
      <w:bookmarkEnd w:id="19"/>
    </w:p>
    <w:p w14:paraId="3B2FD831" w14:textId="77777777" w:rsidR="00D710ED" w:rsidRPr="00E67E4C" w:rsidRDefault="00D710ED" w:rsidP="00D7464D">
      <w:pPr>
        <w:pStyle w:val="Paragraphe-CGPC"/>
      </w:pPr>
      <w:r w:rsidRPr="00E67E4C">
        <w:t>Si le montant brut des revenus fonciers (locations non meublées) par l’ensemble du foyer fiscal n’excède pas 15 000 € (charges non comprises), quelle que soit la durée de la location au cours de l’année.</w:t>
      </w:r>
    </w:p>
    <w:p w14:paraId="358594E3" w14:textId="64A7DD78" w:rsidR="00D710ED" w:rsidRPr="00E67E4C" w:rsidRDefault="00D710ED" w:rsidP="00D7464D">
      <w:pPr>
        <w:pStyle w:val="Paragraphe-CGPC"/>
      </w:pPr>
      <w:r w:rsidRPr="00E67E4C">
        <w:t xml:space="preserve">Ce </w:t>
      </w:r>
      <w:r w:rsidR="000C3123" w:rsidRPr="00E67E4C">
        <w:t>régime</w:t>
      </w:r>
      <w:r w:rsidRPr="00E67E4C">
        <w:t xml:space="preserve"> simplifié ne s’applique pas</w:t>
      </w:r>
    </w:p>
    <w:p w14:paraId="60AD8E12" w14:textId="77777777" w:rsidR="00D710ED" w:rsidRPr="00E67E4C" w:rsidRDefault="00D710ED" w:rsidP="00D7464D">
      <w:pPr>
        <w:pStyle w:val="Paragraphe-CGPC"/>
      </w:pPr>
      <w:r w:rsidRPr="00E67E4C">
        <w:t>– si le contribuable, ou l’un des membres de son foyer fiscal, donne en location un ou plusieurs immeubles:</w:t>
      </w:r>
    </w:p>
    <w:p w14:paraId="7D303EEC" w14:textId="508108A2" w:rsidR="00D710ED" w:rsidRPr="00E67E4C" w:rsidRDefault="00D710ED" w:rsidP="00D7464D">
      <w:pPr>
        <w:pStyle w:val="Paragraphe-CGPC"/>
      </w:pPr>
      <w:r w:rsidRPr="00E67E4C">
        <w:t xml:space="preserve">qui </w:t>
      </w:r>
      <w:r w:rsidR="000C3123" w:rsidRPr="00E67E4C">
        <w:t>bénéficient</w:t>
      </w:r>
      <w:r w:rsidRPr="00E67E4C">
        <w:t xml:space="preserve"> d’un </w:t>
      </w:r>
      <w:r w:rsidR="000C3123" w:rsidRPr="00E67E4C">
        <w:t>régime</w:t>
      </w:r>
      <w:r w:rsidRPr="00E67E4C">
        <w:t xml:space="preserve"> particulier : monuments historiques ou immeubles possédés en nue-propriété;</w:t>
      </w:r>
    </w:p>
    <w:p w14:paraId="3EEAE3A3" w14:textId="6DFF58EA" w:rsidR="00D710ED" w:rsidRPr="00E67E4C" w:rsidRDefault="00D710ED" w:rsidP="00D7464D">
      <w:pPr>
        <w:pStyle w:val="Paragraphe-CGPC"/>
      </w:pPr>
      <w:r w:rsidRPr="00E67E4C">
        <w:t xml:space="preserve">au titre desquels il a </w:t>
      </w:r>
      <w:r w:rsidR="000C3123" w:rsidRPr="00E67E4C">
        <w:t>opté</w:t>
      </w:r>
      <w:r w:rsidRPr="00E67E4C">
        <w:t>́ pour une déduction au titre de l’amortissement (dispositifs Périssol, Besson-neuf, Robien, Borloo neuf) ;</w:t>
      </w:r>
    </w:p>
    <w:p w14:paraId="542BC073" w14:textId="15A5382D" w:rsidR="00D710ED" w:rsidRPr="00E67E4C" w:rsidRDefault="00D710ED" w:rsidP="00D7464D">
      <w:pPr>
        <w:pStyle w:val="Paragraphe-CGPC"/>
      </w:pPr>
      <w:r w:rsidRPr="00E67E4C">
        <w:t xml:space="preserve">au titre desquels il a </w:t>
      </w:r>
      <w:r w:rsidR="000C3123" w:rsidRPr="00E67E4C">
        <w:t>demandé</w:t>
      </w:r>
      <w:r w:rsidRPr="00E67E4C">
        <w:t xml:space="preserve">́ le </w:t>
      </w:r>
      <w:r w:rsidR="000C3123" w:rsidRPr="00E67E4C">
        <w:t>bénéfice</w:t>
      </w:r>
      <w:r w:rsidRPr="00E67E4C">
        <w:t xml:space="preserve"> de </w:t>
      </w:r>
      <w:r w:rsidR="000C3123" w:rsidRPr="00E67E4C">
        <w:t>déductions</w:t>
      </w:r>
      <w:r w:rsidRPr="00E67E4C">
        <w:t xml:space="preserve"> spécifiques (dispositifs Besson ancien, Conventionnement Anah, Borloo ancien ou Cosse, Scellier intermédiaire, Scellier ZRR, Robien ZRR).</w:t>
      </w:r>
    </w:p>
    <w:p w14:paraId="2D82EC9F" w14:textId="3C4037A1" w:rsidR="00D710ED" w:rsidRPr="00E67E4C" w:rsidRDefault="00D710ED" w:rsidP="00D7464D">
      <w:pPr>
        <w:pStyle w:val="Paragraphe-CGPC"/>
      </w:pPr>
      <w:r w:rsidRPr="00E67E4C">
        <w:lastRenderedPageBreak/>
        <w:t xml:space="preserve">Il en est de </w:t>
      </w:r>
      <w:r w:rsidR="00D7464D" w:rsidRPr="00E67E4C">
        <w:t>mê</w:t>
      </w:r>
      <w:r w:rsidR="00D7464D" w:rsidRPr="00E67E4C">
        <w:rPr>
          <w:rFonts w:ascii="Arial" w:hAnsi="Arial" w:cs="Arial"/>
        </w:rPr>
        <w:t>m</w:t>
      </w:r>
      <w:r w:rsidR="00D7464D" w:rsidRPr="00E67E4C">
        <w:t>e</w:t>
      </w:r>
      <w:r w:rsidRPr="00E67E4C">
        <w:t xml:space="preserve"> s’il détient des parts de SCI qui donnent en location l’un de ces immeubles;</w:t>
      </w:r>
    </w:p>
    <w:p w14:paraId="12BC585F" w14:textId="723C322C" w:rsidR="00D710ED" w:rsidRPr="00E67E4C" w:rsidRDefault="00D710ED" w:rsidP="00D7464D">
      <w:pPr>
        <w:pStyle w:val="Paragraphe-CGPC"/>
      </w:pPr>
      <w:r w:rsidRPr="00E67E4C">
        <w:t xml:space="preserve">– si le contribuable, ou l’un des membres de son foyer fiscal, détient des parts de </w:t>
      </w:r>
      <w:r w:rsidR="00D7464D" w:rsidRPr="00E67E4C">
        <w:t>sociétés</w:t>
      </w:r>
      <w:r w:rsidRPr="00E67E4C">
        <w:t xml:space="preserve"> civiles de placement dans l’immobilier (SCPI) qui donnent en location un ou plusieurs immeubles </w:t>
      </w:r>
      <w:r w:rsidR="00D7464D" w:rsidRPr="00E67E4C">
        <w:t>bénéficiant</w:t>
      </w:r>
      <w:r w:rsidRPr="00E67E4C">
        <w:t xml:space="preserve"> d’un </w:t>
      </w:r>
      <w:r w:rsidR="00D7464D" w:rsidRPr="00E67E4C">
        <w:t>régime</w:t>
      </w:r>
      <w:r w:rsidRPr="00E67E4C">
        <w:t xml:space="preserve"> particulier cité ci-dessus ou qui font l’objet d’un amortissement (dispositifs Robien SCPI et Borloo SCPI) ;</w:t>
      </w:r>
    </w:p>
    <w:p w14:paraId="5E96E85C" w14:textId="4651E6D4" w:rsidR="00D710ED" w:rsidRPr="00E67E4C" w:rsidRDefault="00D710ED" w:rsidP="00D7464D">
      <w:pPr>
        <w:pStyle w:val="Paragraphe-CGPC"/>
      </w:pPr>
      <w:r w:rsidRPr="00E67E4C">
        <w:t xml:space="preserve">– si le contribuable perçoit uniquement des revenus fonciers provenant de parts de sociétés immobilières non soumises à l’impôt sur les </w:t>
      </w:r>
      <w:r w:rsidR="00D7464D" w:rsidRPr="00E67E4C">
        <w:t>sociétés</w:t>
      </w:r>
      <w:r w:rsidRPr="00E67E4C">
        <w:t xml:space="preserve"> ou de fonds de placement immobilier (FPI)</w:t>
      </w:r>
    </w:p>
    <w:p w14:paraId="5E5D05EF" w14:textId="5F910F23" w:rsidR="00D710ED" w:rsidRPr="00E67E4C" w:rsidRDefault="00D710ED" w:rsidP="00D7464D">
      <w:pPr>
        <w:pStyle w:val="Paragraphe-CGPC"/>
      </w:pPr>
      <w:r w:rsidRPr="00E67E4C">
        <w:t>– si le contribuable donne en location un logement pour lequel il a  </w:t>
      </w:r>
      <w:r w:rsidR="00D7464D" w:rsidRPr="00E67E4C">
        <w:t>bénéficié</w:t>
      </w:r>
      <w:r w:rsidRPr="00E67E4C">
        <w:t>́ de la réduction d’impôt prévue en faveur des travaux réalisés dans les logements touristiques (CGI, art. 199 decies EA et 199 decies F).</w:t>
      </w:r>
    </w:p>
    <w:p w14:paraId="31B98CF9" w14:textId="4F77B4BF" w:rsidR="00D710ED" w:rsidRPr="00E67E4C" w:rsidRDefault="00D710ED" w:rsidP="006E7B3C">
      <w:pPr>
        <w:pStyle w:val="Titre3"/>
      </w:pPr>
      <w:bookmarkStart w:id="20" w:name="_Toc207194622"/>
      <w:r w:rsidRPr="00E67E4C">
        <w:t>Obligations déclaratives</w:t>
      </w:r>
      <w:bookmarkEnd w:id="20"/>
    </w:p>
    <w:p w14:paraId="3661FC8E" w14:textId="77777777" w:rsidR="00D710ED" w:rsidRPr="00E67E4C" w:rsidRDefault="00D710ED" w:rsidP="00D7464D">
      <w:pPr>
        <w:pStyle w:val="Paragraphe-CGPC"/>
      </w:pPr>
      <w:r w:rsidRPr="00E67E4C">
        <w:t>Les revenus fonciers doivent être alors indiqués sur la déclaration de revenus n°2042, de la façon suivante : montant des loyers encaissés – les charges incombant au locataire + le montant des dépenses incombant normalement au propriétaire et mises à la charge des locataires + les subventions et indemnités perçues.</w:t>
      </w:r>
    </w:p>
    <w:p w14:paraId="6822B417" w14:textId="77777777" w:rsidR="00D710ED" w:rsidRPr="00E67E4C" w:rsidRDefault="00D710ED" w:rsidP="00D7464D">
      <w:pPr>
        <w:pStyle w:val="Paragraphe-CGPC"/>
      </w:pPr>
      <w:r w:rsidRPr="00E67E4C">
        <w:t>Un abattement de 30 %, représentatif des charges supportées par le propriétaire, est appliqué automatiquement pour déterminer le revenu imposable dans la catégorie des revenus fonciers.</w:t>
      </w:r>
    </w:p>
    <w:p w14:paraId="1663D4C3" w14:textId="77777777" w:rsidR="00D710ED" w:rsidRPr="00E67E4C" w:rsidRDefault="00D710ED" w:rsidP="00D7464D">
      <w:pPr>
        <w:pStyle w:val="Paragraphe-CGPC"/>
      </w:pPr>
      <w:r w:rsidRPr="00E67E4C">
        <w:t>Il est possible de renoncer à ce régime et d’opter pour le régime réel. Cette option s’effectue en souscrivant une déclaration de revenus fonciers n° 2044 dans le délai légal de la déclaration des revenus.</w:t>
      </w:r>
    </w:p>
    <w:p w14:paraId="0EE600BA" w14:textId="77777777" w:rsidR="00D710ED" w:rsidRPr="00E67E4C" w:rsidRDefault="00D710ED" w:rsidP="00D7464D">
      <w:pPr>
        <w:pStyle w:val="Paragraphe-CGPC"/>
      </w:pPr>
      <w:r w:rsidRPr="00E67E4C">
        <w:t>Elle est irrévocable pendant trois ans et au terme de cette période de trois ans, l’option se reconduit annuellement par le dépôt d’une déclaration de revenus fonciers n°2044.</w:t>
      </w:r>
    </w:p>
    <w:p w14:paraId="28B6A8C7" w14:textId="7669F3F3" w:rsidR="00D710ED" w:rsidRPr="00F36117" w:rsidRDefault="00D710ED" w:rsidP="00A831FE">
      <w:pPr>
        <w:pStyle w:val="Titre2"/>
      </w:pPr>
      <w:bookmarkStart w:id="21" w:name="_Toc207194623"/>
      <w:r w:rsidRPr="00F36117">
        <w:lastRenderedPageBreak/>
        <w:t>Le régime « réel »</w:t>
      </w:r>
      <w:bookmarkEnd w:id="21"/>
    </w:p>
    <w:p w14:paraId="02759F88" w14:textId="4BB7B46A" w:rsidR="00D710ED" w:rsidRPr="00F36117" w:rsidRDefault="00D710ED" w:rsidP="003667DE">
      <w:pPr>
        <w:pStyle w:val="Titre3"/>
        <w:numPr>
          <w:ilvl w:val="0"/>
          <w:numId w:val="7"/>
        </w:numPr>
      </w:pPr>
      <w:bookmarkStart w:id="22" w:name="_Toc207194624"/>
      <w:r w:rsidRPr="00F36117">
        <w:t>Conditions</w:t>
      </w:r>
      <w:bookmarkEnd w:id="22"/>
    </w:p>
    <w:p w14:paraId="7575D196" w14:textId="77777777" w:rsidR="00D710ED" w:rsidRPr="00F36117" w:rsidRDefault="00D710ED" w:rsidP="00D7464D">
      <w:pPr>
        <w:pStyle w:val="Paragraphe-CGPC"/>
      </w:pPr>
      <w:r w:rsidRPr="00F36117">
        <w:t>Si les revenus fonciers sont supérieurs à 15 000€ ou si la location ne bénéficie pas d’un dispositif particulier) ou si le contribuable opter pour le régime réel, il faut alors reporter sur la déclaration n° 2042 les résultats (bénéfices ou déficits) calculés sur la déclaration annexe des revenus fonciers n° 2044 (ou 2044 spéciale si dispositif particulier).</w:t>
      </w:r>
    </w:p>
    <w:p w14:paraId="43F655A4" w14:textId="1D82B7B6" w:rsidR="00D710ED" w:rsidRPr="00F36117" w:rsidRDefault="00D710ED" w:rsidP="006E7B3C">
      <w:pPr>
        <w:pStyle w:val="Titre3"/>
      </w:pPr>
      <w:bookmarkStart w:id="23" w:name="_Toc207194625"/>
      <w:r w:rsidRPr="00F36117">
        <w:t>Obligations déclaratives</w:t>
      </w:r>
      <w:bookmarkEnd w:id="23"/>
    </w:p>
    <w:p w14:paraId="5C403F94" w14:textId="43CCDB5F" w:rsidR="00D710ED" w:rsidRDefault="00D710ED" w:rsidP="00D7464D">
      <w:pPr>
        <w:pStyle w:val="Paragraphe-CGPC"/>
      </w:pPr>
      <w:r>
        <w:t>Le formulaire n°2044 ou 2044 spécial</w:t>
      </w:r>
      <w:r w:rsidR="00EB4652">
        <w:t>e</w:t>
      </w:r>
      <w:r>
        <w:t xml:space="preserve"> ainsi que leur notice sont disponibles sur le site </w:t>
      </w:r>
      <w:hyperlink r:id="rId20" w:history="1">
        <w:r>
          <w:rPr>
            <w:rStyle w:val="Lienhypertexte"/>
            <w:color w:val="2C498B"/>
            <w:sz w:val="21"/>
            <w:szCs w:val="21"/>
          </w:rPr>
          <w:t>www.impots.gouv.fr</w:t>
        </w:r>
      </w:hyperlink>
      <w:r>
        <w:t>.</w:t>
      </w:r>
    </w:p>
    <w:p w14:paraId="27D40A27" w14:textId="77777777" w:rsidR="00D710ED" w:rsidRDefault="00D710ED" w:rsidP="00D7464D">
      <w:pPr>
        <w:pStyle w:val="Paragraphe-CGPC"/>
      </w:pPr>
      <w:r>
        <w:t>La déclaration n°2044 concerne les propriétaires d’immeubles ordinaires y compris les immeubles bénéficiant d’une des déductions spécifiques prévues par les dispositifs Besson ancien et Borloo ancien.</w:t>
      </w:r>
    </w:p>
    <w:p w14:paraId="0C96378A" w14:textId="77777777" w:rsidR="00D710ED" w:rsidRDefault="00D710ED" w:rsidP="00D7464D">
      <w:pPr>
        <w:pStyle w:val="Paragraphe-CGPC"/>
      </w:pPr>
      <w:r>
        <w:t>La déclaration n°2044 spéciale concerne les propriétaires:</w:t>
      </w:r>
    </w:p>
    <w:p w14:paraId="79DD538A" w14:textId="77777777" w:rsidR="00D710ED" w:rsidRDefault="00D710ED" w:rsidP="00D7464D">
      <w:pPr>
        <w:pStyle w:val="Paragraphe-CGPC"/>
      </w:pPr>
      <w:r>
        <w:t>qui ont opté pour la déduction au titre de l’amortissement des logements neufs ;</w:t>
      </w:r>
    </w:p>
    <w:p w14:paraId="3ADACDFE" w14:textId="77777777" w:rsidR="00D710ED" w:rsidRDefault="00D710ED" w:rsidP="00D7464D">
      <w:pPr>
        <w:pStyle w:val="Paragraphe-CGPC"/>
      </w:pPr>
      <w:r>
        <w:t>qui bénéficient d’une déduction spécifique au titre des dispositifs Scellier intermédiaire, Scellier ZRR ou Robien ZRR ;</w:t>
      </w:r>
    </w:p>
    <w:p w14:paraId="771D62A9" w14:textId="77777777" w:rsidR="00D710ED" w:rsidRDefault="00D710ED" w:rsidP="00D7464D">
      <w:pPr>
        <w:pStyle w:val="Paragraphe-CGPC"/>
      </w:pPr>
      <w:r>
        <w:t>d’immeubles spéciaux: immeubles classés monuments historiques, immeubles situés dans un secteur sauvegardé ou assimilé pour lesquels le bénéfice de déduction des charges Malraux est demandé ou immeubles détenus en nue-propriété.</w:t>
      </w:r>
    </w:p>
    <w:p w14:paraId="3D5EE1FC" w14:textId="77777777" w:rsidR="00D710ED" w:rsidRDefault="00D710ED" w:rsidP="00D7464D">
      <w:pPr>
        <w:pStyle w:val="Paragraphe-CGPC"/>
      </w:pPr>
      <w:r>
        <w:t>Si les seuls revenus fonciers proviennent de parts de Sociétés civiles immobilières (SCI déposant une déclaration n°2072) soumises à l’impôt sur le revenu, la quote-part de bénéfice ou de déficit peut être reportée directement sur la déclaration 2042. Il ne faut pas souscrire de déclaration de revenus fonciers.</w:t>
      </w:r>
    </w:p>
    <w:p w14:paraId="7C104C4C" w14:textId="77777777" w:rsidR="00D710ED" w:rsidRDefault="00D710ED" w:rsidP="00D7464D">
      <w:pPr>
        <w:pStyle w:val="Paragraphe-CGPC"/>
      </w:pPr>
      <w:r>
        <w:t>Le revenu foncier imposable est égal à la différence entre les recettes encaissées et les frais et charges acquittés.</w:t>
      </w:r>
    </w:p>
    <w:p w14:paraId="184BF1F4" w14:textId="77777777" w:rsidR="00D710ED" w:rsidRDefault="00D710ED" w:rsidP="00D7464D">
      <w:pPr>
        <w:pStyle w:val="Paragraphe-CGPC"/>
      </w:pPr>
      <w:r>
        <w:t>Sont à prendre en compte </w:t>
      </w:r>
      <w:r>
        <w:rPr>
          <w:strike/>
        </w:rPr>
        <w:t>à ce</w:t>
      </w:r>
      <w:r>
        <w:t> au titre des recettes (dès lors qu’elles sont encaissées dans l’année) :</w:t>
      </w:r>
    </w:p>
    <w:p w14:paraId="348DD84F" w14:textId="77777777" w:rsidR="00D710ED" w:rsidRDefault="00D710ED" w:rsidP="00D7464D">
      <w:pPr>
        <w:pStyle w:val="Paragraphe-CGPC"/>
      </w:pPr>
      <w:r>
        <w:t>Les loyers (ou fermages) ;</w:t>
      </w:r>
    </w:p>
    <w:p w14:paraId="40B03128" w14:textId="77777777" w:rsidR="00D710ED" w:rsidRDefault="00D710ED" w:rsidP="00D7464D">
      <w:pPr>
        <w:pStyle w:val="Paragraphe-CGPC"/>
      </w:pPr>
      <w:r>
        <w:t>Les subventions ANAH et indemnités d’assurance ;</w:t>
      </w:r>
    </w:p>
    <w:p w14:paraId="425A98EF" w14:textId="77777777" w:rsidR="00D710ED" w:rsidRDefault="00D710ED" w:rsidP="00D7464D">
      <w:pPr>
        <w:pStyle w:val="Paragraphe-CGPC"/>
      </w:pPr>
      <w:r>
        <w:lastRenderedPageBreak/>
        <w:t>La valeur des avantages en nature mentionnés sur le bail ;</w:t>
      </w:r>
    </w:p>
    <w:p w14:paraId="28A9D4A7" w14:textId="77777777" w:rsidR="00D710ED" w:rsidRDefault="00D710ED" w:rsidP="00D7464D">
      <w:pPr>
        <w:pStyle w:val="Paragraphe-CGPC"/>
      </w:pPr>
      <w:r>
        <w:t>Et tous les revenus annexes (tels les droits d’affichage ou les droits de chasse).</w:t>
      </w:r>
    </w:p>
    <w:p w14:paraId="164FDD9E" w14:textId="77777777" w:rsidR="00D710ED" w:rsidRDefault="00D710ED" w:rsidP="00D7464D">
      <w:pPr>
        <w:pStyle w:val="Paragraphe-CGPC"/>
      </w:pPr>
      <w:r>
        <w:t>Sont à prendre en compte au titre des frais et charges :</w:t>
      </w:r>
    </w:p>
    <w:p w14:paraId="10F5ACCD" w14:textId="77777777" w:rsidR="00D710ED" w:rsidRDefault="00D710ED" w:rsidP="00D7464D">
      <w:pPr>
        <w:pStyle w:val="Paragraphe-CGPC"/>
      </w:pPr>
      <w:r>
        <w:t>L’ensemble des primes d’assurance,</w:t>
      </w:r>
    </w:p>
    <w:p w14:paraId="3BF2E301" w14:textId="77777777" w:rsidR="00D710ED" w:rsidRDefault="00D710ED" w:rsidP="00D7464D">
      <w:pPr>
        <w:pStyle w:val="Paragraphe-CGPC"/>
      </w:pPr>
      <w:r>
        <w:t>Les dépenses de réparation et d’entretien (qui permettent de remettre ou de maintenir le bien en bon état),</w:t>
      </w:r>
    </w:p>
    <w:p w14:paraId="6FFB6F7B" w14:textId="77777777" w:rsidR="00D710ED" w:rsidRDefault="00D710ED" w:rsidP="00D7464D">
      <w:pPr>
        <w:pStyle w:val="Paragraphe-CGPC"/>
      </w:pPr>
      <w:r>
        <w:t>Les dépenses d’amélioration afférentes aux locaux d’habitation (exclusion des frais correspondant à des travaux de construction, de reconstruction ou d’agrandissement),</w:t>
      </w:r>
    </w:p>
    <w:p w14:paraId="1BF0C4E3" w14:textId="77777777" w:rsidR="00D710ED" w:rsidRDefault="00D710ED" w:rsidP="00D7464D">
      <w:pPr>
        <w:pStyle w:val="Paragraphe-CGPC"/>
      </w:pPr>
      <w:r>
        <w:t>Les provisions pour charges de copropriété,</w:t>
      </w:r>
    </w:p>
    <w:p w14:paraId="7EBDEE09" w14:textId="77777777" w:rsidR="00D710ED" w:rsidRDefault="00D710ED" w:rsidP="00D7464D">
      <w:pPr>
        <w:pStyle w:val="Paragraphe-CGPC"/>
      </w:pPr>
      <w:r>
        <w:t>Les frais de gestion fixés à 20 euros par local, majorés des frais de rémunération des gardes et concierges et de gérance notamment, lorsque les dépenses sont supportées par le propriétaire,</w:t>
      </w:r>
    </w:p>
    <w:p w14:paraId="5761CA9A" w14:textId="77777777" w:rsidR="00D710ED" w:rsidRDefault="00D710ED" w:rsidP="00D7464D">
      <w:pPr>
        <w:pStyle w:val="Paragraphe-CGPC"/>
      </w:pPr>
      <w:r>
        <w:t>Les frais de procédure,</w:t>
      </w:r>
    </w:p>
    <w:p w14:paraId="5DA64F2F" w14:textId="77777777" w:rsidR="00D710ED" w:rsidRDefault="00D710ED" w:rsidP="00D7464D">
      <w:pPr>
        <w:pStyle w:val="Paragraphe-CGPC"/>
      </w:pPr>
      <w:r>
        <w:t>Les intérêts d’emprunt,</w:t>
      </w:r>
    </w:p>
    <w:p w14:paraId="5038A4BA" w14:textId="77777777" w:rsidR="00D710ED" w:rsidRDefault="00D710ED" w:rsidP="00D7464D">
      <w:pPr>
        <w:pStyle w:val="Paragraphe-CGPC"/>
      </w:pPr>
      <w:r>
        <w:t>Les impôts et taxes.</w:t>
      </w:r>
    </w:p>
    <w:p w14:paraId="28144791" w14:textId="5ADD4167" w:rsidR="00D710ED" w:rsidRDefault="00D710ED" w:rsidP="00D7464D">
      <w:pPr>
        <w:pStyle w:val="Paragraphe-CGPC"/>
      </w:pPr>
      <w:r>
        <w:t>Les déductions spécifiques (Besson ancien,</w:t>
      </w:r>
      <w:r w:rsidR="00F36117">
        <w:t xml:space="preserve"> </w:t>
      </w:r>
      <w:r>
        <w:t>Robien ZRR, Borloo, Scellier intermédiaire, …).</w:t>
      </w:r>
    </w:p>
    <w:p w14:paraId="7EE1AACE" w14:textId="77777777" w:rsidR="00CD05B4" w:rsidRDefault="00D710ED" w:rsidP="00D7464D">
      <w:pPr>
        <w:pStyle w:val="Paragraphe-CGPC"/>
      </w:pPr>
      <w:r>
        <w:t xml:space="preserve">Lorsque les charges sont supérieures aux dépenses, on parle de  déficit foncier. </w:t>
      </w:r>
    </w:p>
    <w:p w14:paraId="2D0A50E8" w14:textId="7DE615DD" w:rsidR="00D710ED" w:rsidRDefault="00D710ED" w:rsidP="00D7464D">
      <w:pPr>
        <w:pStyle w:val="Paragraphe-CGPC"/>
      </w:pPr>
      <w:r>
        <w:t>Il est alors imputable sur le </w:t>
      </w:r>
      <w:r>
        <w:rPr>
          <w:rStyle w:val="lev"/>
          <w:color w:val="666666"/>
          <w:sz w:val="21"/>
          <w:szCs w:val="21"/>
        </w:rPr>
        <w:t>revenu global de l’année</w:t>
      </w:r>
      <w:r>
        <w:t>, dans un </w:t>
      </w:r>
      <w:r>
        <w:rPr>
          <w:rStyle w:val="lev"/>
          <w:color w:val="666666"/>
          <w:sz w:val="21"/>
          <w:szCs w:val="21"/>
        </w:rPr>
        <w:t>maximum de 10 700 euros</w:t>
      </w:r>
      <w:r>
        <w:t>. Cette imputation sur le revenu global n’est définitivement acquise au propriétaire que si ce dernier continue de louer son bien jusqu’au 31/12 de la troisième année suivant celle d’imputation.</w:t>
      </w:r>
    </w:p>
    <w:p w14:paraId="7FCE95D7" w14:textId="77777777" w:rsidR="00D710ED" w:rsidRDefault="00D710ED" w:rsidP="00D7464D">
      <w:pPr>
        <w:pStyle w:val="Paragraphe-CGPC"/>
      </w:pPr>
      <w:r>
        <w:t>La fraction de ce déficit foncier excédant le plafond de 10 700 euros et celle correspondant aux intérêts d’emprunt sont imputables sur les revenus fonciers des dix années suivantes. Il en va de même de l’imputation reprise sur le revenu global en cas de manquement à l’obligation de louer le bien pendant 3 ans : le déficit reconstitué s’impute sur les revenus fonciers des 10 années suivantes.</w:t>
      </w:r>
    </w:p>
    <w:p w14:paraId="0ACEE525" w14:textId="73F9804C" w:rsidR="00CD05B4" w:rsidRPr="0039084D" w:rsidRDefault="00CD05B4" w:rsidP="00D7464D">
      <w:pPr>
        <w:pStyle w:val="Paragraphe-CGPC"/>
      </w:pPr>
      <w:r>
        <w:t xml:space="preserve">La limite d’imputation des déficits fonciers sur le revenu global est temporairement rehaussée jusqu’à 21 400 € si le contribuable rélaise des travaux de rénovation énergétique permettant à un logement de passer d’une classe énergétique E, F ou G à une classe énergétique A, B, C </w:t>
      </w:r>
      <w:r w:rsidRPr="0039084D">
        <w:t>ou D au sens de l’article L. 173-1-1 du code de la construction et de l’habitation (CCH). Ce dispositif s’applique au titre des dépenses de réno</w:t>
      </w:r>
      <w:r w:rsidRPr="0039084D">
        <w:lastRenderedPageBreak/>
        <w:t>vation énergétique pour lesquelles est justifiée l’acceptation d’un devis à compter du 5.11.2022 et qui sont payées entre le 1.1.2023 et le 31.12.2025</w:t>
      </w:r>
    </w:p>
    <w:p w14:paraId="335756D6" w14:textId="6C7398BA" w:rsidR="00D710ED" w:rsidRPr="0039084D" w:rsidRDefault="00D710ED" w:rsidP="00D7464D">
      <w:pPr>
        <w:pStyle w:val="Paragraphe-CGPC"/>
      </w:pPr>
      <w:r w:rsidRPr="0039084D">
        <w:rPr>
          <w:rStyle w:val="Accentuation"/>
          <w:b/>
          <w:bCs w:val="0"/>
          <w:i w:val="0"/>
          <w:iCs w:val="0"/>
          <w:u w:val="single"/>
        </w:rPr>
        <w:t>Remarque :</w:t>
      </w:r>
      <w:r w:rsidRPr="0039084D">
        <w:t> </w:t>
      </w:r>
      <w:r w:rsidRPr="0039084D">
        <w:rPr>
          <w:rStyle w:val="Accentuation"/>
          <w:i w:val="0"/>
          <w:iCs w:val="0"/>
        </w:rPr>
        <w:t>les revenus fonciers supportent la CSG au taux de 9,2 % (la part déductible de la CSG s’établit à 6,8 %). À ce taux de CSG, il convient d’ajouter la CRDS de 0,5 % et le prélèvement de solidarité de 7.5 %, soit un total de 17,2 %.</w:t>
      </w:r>
    </w:p>
    <w:p w14:paraId="38AB21CA" w14:textId="6D8C500B" w:rsidR="00D710ED" w:rsidRPr="00AB0C44" w:rsidRDefault="00AB0C44" w:rsidP="006E7B3C">
      <w:pPr>
        <w:pStyle w:val="Titre3"/>
      </w:pPr>
      <w:bookmarkStart w:id="24" w:name="_Toc207194626"/>
      <w:r w:rsidRPr="00AB0C44">
        <w:t>Cas particulier des immeubles en démembrement de propriété</w:t>
      </w:r>
      <w:bookmarkEnd w:id="24"/>
    </w:p>
    <w:p w14:paraId="183C1841" w14:textId="77777777" w:rsidR="00D710ED" w:rsidRPr="0039084D" w:rsidRDefault="00D710ED" w:rsidP="00D7464D">
      <w:pPr>
        <w:pStyle w:val="Paragraphe-CGPC"/>
      </w:pPr>
      <w:r>
        <w:t>Lorsque l’usufruitier met le bien en location, il est imposé au titre des revenus fonciers générés par cette location et subit les règles fiscales énoncées ci</w:t>
      </w:r>
      <w:r w:rsidRPr="0039084D">
        <w:t>-dessus.</w:t>
      </w:r>
    </w:p>
    <w:p w14:paraId="547B2F3B" w14:textId="29B70CC3" w:rsidR="00D710ED" w:rsidRPr="0039084D" w:rsidRDefault="00D710ED" w:rsidP="00D7464D">
      <w:pPr>
        <w:pStyle w:val="Paragraphe-CGPC"/>
      </w:pPr>
      <w:r w:rsidRPr="0039084D">
        <w:rPr>
          <w:rStyle w:val="Accentuation"/>
          <w:i w:val="0"/>
          <w:iCs w:val="0"/>
        </w:rPr>
        <w:t>À noter :</w:t>
      </w:r>
      <w:r w:rsidRPr="0039084D">
        <w:t> </w:t>
      </w:r>
      <w:r w:rsidRPr="0039084D">
        <w:rPr>
          <w:rStyle w:val="Accentuation"/>
          <w:i w:val="0"/>
          <w:iCs w:val="0"/>
        </w:rPr>
        <w:t>si les dépenses ont été engagées par le nu-propriétaire, seul ce dernier peut les déduire de ses autres revenus fonciers, dans les conditions de droit commun.</w:t>
      </w:r>
    </w:p>
    <w:p w14:paraId="14CFDE6D" w14:textId="34379DCE" w:rsidR="00D710ED" w:rsidRPr="00AB0C44" w:rsidRDefault="00D710ED" w:rsidP="00A831FE">
      <w:pPr>
        <w:pStyle w:val="Titre2"/>
      </w:pPr>
      <w:bookmarkStart w:id="25" w:name="_Toc207194627"/>
      <w:r w:rsidRPr="00AB0C44">
        <w:t>Le régime du dispositif fiscal Pinel</w:t>
      </w:r>
      <w:bookmarkEnd w:id="25"/>
    </w:p>
    <w:p w14:paraId="0594B5F8" w14:textId="77777777" w:rsidR="00D710ED" w:rsidRPr="00AB0C44" w:rsidRDefault="00D710ED" w:rsidP="00D7464D">
      <w:pPr>
        <w:pStyle w:val="Paragraphe-CGPC"/>
      </w:pPr>
      <w:r w:rsidRPr="00AB0C44">
        <w:rPr>
          <w:rStyle w:val="lev"/>
          <w:b w:val="0"/>
          <w:bCs/>
        </w:rPr>
        <w:t>Le dispositif Pinel est un dispositif fiscal permettant de réduire l’impôt.</w:t>
      </w:r>
    </w:p>
    <w:p w14:paraId="3515B1AD" w14:textId="77777777" w:rsidR="00D710ED" w:rsidRPr="00AB0C44" w:rsidRDefault="00D710ED" w:rsidP="00D7464D">
      <w:pPr>
        <w:pStyle w:val="Paragraphe-CGPC"/>
      </w:pPr>
      <w:r w:rsidRPr="00AB0C44">
        <w:t>Il introduit la possibilité de louer son bien à ses proches, ses ascendants ou descendants.</w:t>
      </w:r>
    </w:p>
    <w:p w14:paraId="1C4E17BC" w14:textId="77777777" w:rsidR="00D710ED" w:rsidRPr="00AB0C44" w:rsidRDefault="00D710ED" w:rsidP="00D7464D">
      <w:pPr>
        <w:pStyle w:val="Paragraphe-CGPC"/>
      </w:pPr>
      <w:r w:rsidRPr="00AB0C44">
        <w:t>Pour bénéficier de la réduction d’impôts, l’investisseur doit acquérir un bien neuf et le louer pendant une période déterminée : 6, 9 ou 12 ans. La réduction d’impôt est, dès lors, proportionnelle à la durée d’engagement : </w:t>
      </w:r>
      <w:r w:rsidRPr="00AB0C44">
        <w:rPr>
          <w:rStyle w:val="lev"/>
          <w:b w:val="0"/>
          <w:bCs/>
        </w:rPr>
        <w:t>12, 18 ou 21 %</w:t>
      </w:r>
      <w:r w:rsidRPr="00AB0C44">
        <w:t>.</w:t>
      </w:r>
    </w:p>
    <w:p w14:paraId="7AF1519F" w14:textId="6774176C" w:rsidR="00D710ED" w:rsidRPr="00AB0C44" w:rsidRDefault="00D710ED" w:rsidP="00D7464D">
      <w:pPr>
        <w:pStyle w:val="Paragraphe-CGPC"/>
      </w:pPr>
      <w:r w:rsidRPr="00AB0C44">
        <w:t xml:space="preserve">Cette réduction d’impôt </w:t>
      </w:r>
      <w:r w:rsidR="005D37E9">
        <w:t xml:space="preserve">s’est achevée </w:t>
      </w:r>
      <w:r w:rsidRPr="00AB0C44">
        <w:t>au </w:t>
      </w:r>
      <w:r w:rsidRPr="00AB0C44">
        <w:rPr>
          <w:rStyle w:val="lev"/>
          <w:b w:val="0"/>
          <w:bCs/>
        </w:rPr>
        <w:t>31 décembre 2024.</w:t>
      </w:r>
    </w:p>
    <w:p w14:paraId="16D54829" w14:textId="53D542C8" w:rsidR="00D710ED" w:rsidRPr="00AB0C44" w:rsidRDefault="00D710ED" w:rsidP="00D7464D">
      <w:pPr>
        <w:pStyle w:val="Paragraphe-CGPC"/>
      </w:pPr>
      <w:r w:rsidRPr="00AB0C44">
        <w:t xml:space="preserve">Les taux de la réduction d’impôt ont </w:t>
      </w:r>
      <w:r w:rsidR="001D53D7">
        <w:t xml:space="preserve">été </w:t>
      </w:r>
      <w:r w:rsidRPr="00AB0C44">
        <w:t>progressivement réduits pour les </w:t>
      </w:r>
      <w:r w:rsidRPr="00AB0C44">
        <w:rPr>
          <w:rStyle w:val="lev"/>
          <w:b w:val="0"/>
          <w:bCs/>
        </w:rPr>
        <w:t>investissements réalisés en 2023 et 2024.</w:t>
      </w:r>
    </w:p>
    <w:p w14:paraId="0F3E0911" w14:textId="43055D06" w:rsidR="00D710ED" w:rsidRPr="00AB0C44" w:rsidRDefault="00D710ED" w:rsidP="00D7464D">
      <w:pPr>
        <w:pStyle w:val="Paragraphe-CGPC"/>
      </w:pPr>
      <w:r w:rsidRPr="00AB0C44">
        <w:t xml:space="preserve">Ainsi les réductions d’impôts </w:t>
      </w:r>
      <w:r w:rsidR="001D53D7">
        <w:t>sont passées</w:t>
      </w:r>
      <w:r w:rsidRPr="00AB0C44">
        <w:t xml:space="preserve"> en 2023 :</w:t>
      </w:r>
    </w:p>
    <w:p w14:paraId="59EE7F2E" w14:textId="77777777" w:rsidR="00D710ED" w:rsidRPr="00AB0C44" w:rsidRDefault="00D710ED" w:rsidP="00D7464D">
      <w:pPr>
        <w:pStyle w:val="Paragraphe-CGPC"/>
      </w:pPr>
      <w:r w:rsidRPr="00AB0C44">
        <w:t>De 12% à 10,5% pour un engagement de 6 ans</w:t>
      </w:r>
    </w:p>
    <w:p w14:paraId="2D91F5C8" w14:textId="77777777" w:rsidR="00D710ED" w:rsidRPr="00AB0C44" w:rsidRDefault="00D710ED" w:rsidP="00D7464D">
      <w:pPr>
        <w:pStyle w:val="Paragraphe-CGPC"/>
      </w:pPr>
      <w:r w:rsidRPr="00AB0C44">
        <w:t>De 18% à 15% pour un engagement de 9 ans</w:t>
      </w:r>
    </w:p>
    <w:p w14:paraId="538ECCFA" w14:textId="77777777" w:rsidR="00D710ED" w:rsidRPr="00AB0C44" w:rsidRDefault="00D710ED" w:rsidP="00D7464D">
      <w:pPr>
        <w:pStyle w:val="Paragraphe-CGPC"/>
      </w:pPr>
      <w:r w:rsidRPr="00AB0C44">
        <w:t>De 21% à 17,5% pour un engagement de 12 ans</w:t>
      </w:r>
    </w:p>
    <w:p w14:paraId="285A6C10" w14:textId="77777777" w:rsidR="00D710ED" w:rsidRPr="00AB0C44" w:rsidRDefault="00D710ED" w:rsidP="00D7464D">
      <w:pPr>
        <w:pStyle w:val="Paragraphe-CGPC"/>
      </w:pPr>
      <w:r w:rsidRPr="00AB0C44">
        <w:t>Et en 2024 :</w:t>
      </w:r>
    </w:p>
    <w:p w14:paraId="2FF0621A" w14:textId="77777777" w:rsidR="00D710ED" w:rsidRPr="00AB0C44" w:rsidRDefault="00D710ED" w:rsidP="00D7464D">
      <w:pPr>
        <w:pStyle w:val="Paragraphe-CGPC"/>
      </w:pPr>
      <w:r w:rsidRPr="00AB0C44">
        <w:lastRenderedPageBreak/>
        <w:t>De 10,5% à 9% pour un engagement de 6 ans</w:t>
      </w:r>
    </w:p>
    <w:p w14:paraId="33F05371" w14:textId="77777777" w:rsidR="00D710ED" w:rsidRPr="00AB0C44" w:rsidRDefault="00D710ED" w:rsidP="00D7464D">
      <w:pPr>
        <w:pStyle w:val="Paragraphe-CGPC"/>
      </w:pPr>
      <w:r w:rsidRPr="00AB0C44">
        <w:t>De 15% à 12% pour un engagement de 9 ans</w:t>
      </w:r>
    </w:p>
    <w:p w14:paraId="25BDE148" w14:textId="77777777" w:rsidR="00D710ED" w:rsidRPr="00AB0C44" w:rsidRDefault="00D710ED" w:rsidP="00D7464D">
      <w:pPr>
        <w:pStyle w:val="Paragraphe-CGPC"/>
      </w:pPr>
      <w:r w:rsidRPr="00AB0C44">
        <w:t>De 17,5% à 14% pour un engagement de 12 ans</w:t>
      </w:r>
    </w:p>
    <w:p w14:paraId="007848B9" w14:textId="484F5E6B" w:rsidR="00D710ED" w:rsidRPr="00AB0C44" w:rsidRDefault="00D710ED" w:rsidP="00D7464D">
      <w:pPr>
        <w:pStyle w:val="Paragraphe-CGPC"/>
      </w:pPr>
      <w:r w:rsidRPr="0003435E">
        <w:rPr>
          <w:rStyle w:val="lev"/>
          <w:u w:val="single"/>
        </w:rPr>
        <w:t>Exemple :</w:t>
      </w:r>
      <w:r w:rsidRPr="00AB0C44">
        <w:t>  P</w:t>
      </w:r>
      <w:r w:rsidRPr="00AB0C44">
        <w:rPr>
          <w:rStyle w:val="Accentuation"/>
          <w:i w:val="0"/>
          <w:iCs w:val="0"/>
        </w:rPr>
        <w:t xml:space="preserve">our un investissement acheté à 220 000 euros avec un engagement à louer en Pinel pour 9 ans, le contribuable bénéficiera jusqu’en 2022 de 220 000 x 18%, soit 39 600 €, sur 9 ans, soit 4 400 euros de réduction d’impôt par an.  En 2023, l’aide </w:t>
      </w:r>
      <w:r w:rsidR="00481705">
        <w:rPr>
          <w:rStyle w:val="Accentuation"/>
          <w:i w:val="0"/>
          <w:iCs w:val="0"/>
        </w:rPr>
        <w:t>est passée</w:t>
      </w:r>
      <w:r w:rsidRPr="00AB0C44">
        <w:rPr>
          <w:rStyle w:val="Accentuation"/>
          <w:i w:val="0"/>
          <w:iCs w:val="0"/>
        </w:rPr>
        <w:t xml:space="preserve"> à 3 667 euros environ et en 2024 à 2933 euros.</w:t>
      </w:r>
    </w:p>
    <w:p w14:paraId="218A9236" w14:textId="6D54C5B1" w:rsidR="00D710ED" w:rsidRDefault="00D710ED" w:rsidP="00D7464D">
      <w:pPr>
        <w:pStyle w:val="Paragraphe-CGPC"/>
      </w:pPr>
    </w:p>
    <w:p w14:paraId="5C17F383" w14:textId="5F172D1B" w:rsidR="00D710ED" w:rsidRPr="00AB0C44" w:rsidRDefault="00D710ED" w:rsidP="00A831FE">
      <w:pPr>
        <w:pStyle w:val="Titre2"/>
      </w:pPr>
      <w:bookmarkStart w:id="26" w:name="_Toc207194628"/>
      <w:r w:rsidRPr="00AB0C44">
        <w:t>Le régime du dispositif Pinel outre-mer</w:t>
      </w:r>
      <w:bookmarkEnd w:id="26"/>
      <w:r w:rsidRPr="00AB0C44">
        <w:t> </w:t>
      </w:r>
    </w:p>
    <w:p w14:paraId="1DE5E263" w14:textId="77777777" w:rsidR="00D710ED" w:rsidRPr="00AB0C44" w:rsidRDefault="00D710ED" w:rsidP="00D7464D">
      <w:pPr>
        <w:pStyle w:val="Paragraphe-CGPC"/>
      </w:pPr>
      <w:r w:rsidRPr="00AB0C44">
        <w:t>En rappel la réduction d’impôt est de 23%, 29% ou 32% du prix d’acquisition du logement dans la limite de 300.000 € (maxi : deux logements par an) en fonction de la durée d’engagement de location retenue.</w:t>
      </w:r>
    </w:p>
    <w:p w14:paraId="172AC071" w14:textId="77777777" w:rsidR="00D710ED" w:rsidRPr="00AB0C44" w:rsidRDefault="00D710ED" w:rsidP="00D7464D">
      <w:pPr>
        <w:pStyle w:val="Paragraphe-CGPC"/>
      </w:pPr>
      <w:r w:rsidRPr="00AB0C44">
        <w:t>Cette réduction d’impôt est étalée sur 6, 9 ou 12 ans selon la durée de location convenue par l’acquéreur.</w:t>
      </w:r>
    </w:p>
    <w:p w14:paraId="5E2565AC" w14:textId="0A7EE47A" w:rsidR="00D710ED" w:rsidRPr="00AB0C44" w:rsidRDefault="00D710ED" w:rsidP="00D7464D">
      <w:pPr>
        <w:pStyle w:val="Paragraphe-CGPC"/>
      </w:pPr>
      <w:r w:rsidRPr="00AB0C44">
        <w:t xml:space="preserve">Les taux de réduction d’impôt </w:t>
      </w:r>
      <w:r w:rsidR="002B40D2">
        <w:t>ont été</w:t>
      </w:r>
      <w:r w:rsidRPr="00AB0C44">
        <w:t xml:space="preserve"> progressivement réduits pour les investissements en Outre-mer.</w:t>
      </w:r>
    </w:p>
    <w:p w14:paraId="5BBA6148" w14:textId="77777777" w:rsidR="00D710ED" w:rsidRPr="00AB0C44" w:rsidRDefault="00D710ED" w:rsidP="00D7464D">
      <w:pPr>
        <w:pStyle w:val="Paragraphe-CGPC"/>
      </w:pPr>
      <w:r w:rsidRPr="00AB0C44">
        <w:t>En 2023 :</w:t>
      </w:r>
    </w:p>
    <w:p w14:paraId="1832F348" w14:textId="77777777" w:rsidR="00D710ED" w:rsidRPr="00AB0C44" w:rsidRDefault="00D710ED" w:rsidP="00D7464D">
      <w:pPr>
        <w:pStyle w:val="Paragraphe-CGPC"/>
      </w:pPr>
      <w:r w:rsidRPr="00AB0C44">
        <w:t>De 23% à 21,5% pour un engagement de 6 ans</w:t>
      </w:r>
    </w:p>
    <w:p w14:paraId="75ABC8C0" w14:textId="77777777" w:rsidR="00D710ED" w:rsidRPr="00AB0C44" w:rsidRDefault="00D710ED" w:rsidP="00D7464D">
      <w:pPr>
        <w:pStyle w:val="Paragraphe-CGPC"/>
      </w:pPr>
      <w:r w:rsidRPr="00AB0C44">
        <w:t>De 29% à 26% pour un engagement de 9 ans</w:t>
      </w:r>
    </w:p>
    <w:p w14:paraId="5A416569" w14:textId="77777777" w:rsidR="00D710ED" w:rsidRPr="00AB0C44" w:rsidRDefault="00D710ED" w:rsidP="00D7464D">
      <w:pPr>
        <w:pStyle w:val="Paragraphe-CGPC"/>
      </w:pPr>
      <w:r w:rsidRPr="00AB0C44">
        <w:t>De 32% à 28,5% pour un engagement de 12 ans</w:t>
      </w:r>
    </w:p>
    <w:p w14:paraId="19DC4A22" w14:textId="77777777" w:rsidR="00D710ED" w:rsidRPr="00AB0C44" w:rsidRDefault="00D710ED" w:rsidP="00D7464D">
      <w:pPr>
        <w:pStyle w:val="Paragraphe-CGPC"/>
      </w:pPr>
      <w:r w:rsidRPr="00AB0C44">
        <w:t>Et en 2024 :</w:t>
      </w:r>
    </w:p>
    <w:p w14:paraId="3314BDCA" w14:textId="77777777" w:rsidR="00D710ED" w:rsidRPr="00AB0C44" w:rsidRDefault="00D710ED" w:rsidP="00D7464D">
      <w:pPr>
        <w:pStyle w:val="Paragraphe-CGPC"/>
      </w:pPr>
      <w:r w:rsidRPr="00AB0C44">
        <w:t>De 21,5% à 20% pour un engagement de 6 ans</w:t>
      </w:r>
    </w:p>
    <w:p w14:paraId="3DC1B424" w14:textId="77777777" w:rsidR="00D710ED" w:rsidRPr="00AB0C44" w:rsidRDefault="00D710ED" w:rsidP="00D7464D">
      <w:pPr>
        <w:pStyle w:val="Paragraphe-CGPC"/>
      </w:pPr>
      <w:r w:rsidRPr="00AB0C44">
        <w:t>De 26% à 23% pour un engagement de 9 ans</w:t>
      </w:r>
    </w:p>
    <w:p w14:paraId="4B28A70A" w14:textId="77777777" w:rsidR="00D710ED" w:rsidRPr="00AB0C44" w:rsidRDefault="00D710ED" w:rsidP="00D7464D">
      <w:pPr>
        <w:pStyle w:val="Paragraphe-CGPC"/>
      </w:pPr>
      <w:r w:rsidRPr="00AB0C44">
        <w:t>De 28,5% à 25% pour un engagement de 12 ans</w:t>
      </w:r>
    </w:p>
    <w:p w14:paraId="719CFBED" w14:textId="3D38EDE1" w:rsidR="00D710ED" w:rsidRPr="00870679" w:rsidRDefault="00D710ED" w:rsidP="00A831FE">
      <w:pPr>
        <w:pStyle w:val="Titre2"/>
      </w:pPr>
      <w:bookmarkStart w:id="27" w:name="_Toc207194629"/>
      <w:r w:rsidRPr="00870679">
        <w:lastRenderedPageBreak/>
        <w:t>Le régime fiscal du LMNP</w:t>
      </w:r>
      <w:bookmarkEnd w:id="27"/>
    </w:p>
    <w:p w14:paraId="2E79B660" w14:textId="77777777" w:rsidR="00D710ED" w:rsidRDefault="00D710ED" w:rsidP="00D7464D">
      <w:pPr>
        <w:pStyle w:val="Paragraphe-CGPC"/>
      </w:pPr>
      <w:r>
        <w:t>Mettre en location un bien meublé est considéré comme une activité commerciale. Par conséquent, les loyers perçus sous le régime de la LMNP sont classés dans a catégorie des Bénéfices Industriels et Commerciaux (BIC). Le bailleur a le choix entre deux régimes d’imposition :</w:t>
      </w:r>
    </w:p>
    <w:p w14:paraId="0E563D58" w14:textId="77777777" w:rsidR="00D710ED" w:rsidRDefault="00D710ED" w:rsidP="00D7464D">
      <w:pPr>
        <w:pStyle w:val="Paragraphe-CGPC"/>
      </w:pPr>
      <w:r>
        <w:t>Le régime du micro-BIC</w:t>
      </w:r>
    </w:p>
    <w:p w14:paraId="1D7C22DA" w14:textId="77777777" w:rsidR="00D710ED" w:rsidRDefault="00D710ED" w:rsidP="00D7464D">
      <w:pPr>
        <w:pStyle w:val="Paragraphe-CGPC"/>
      </w:pPr>
      <w:r>
        <w:t>Le régime du bénéfice réel.</w:t>
      </w:r>
    </w:p>
    <w:p w14:paraId="1221D76C" w14:textId="501CEBFA" w:rsidR="00C7085D" w:rsidRDefault="005C1C65" w:rsidP="00D7464D">
      <w:pPr>
        <w:pStyle w:val="Paragraphe-CGPC"/>
      </w:pPr>
      <w:r>
        <w:t xml:space="preserve">Le régime micro-BIC s’applique </w:t>
      </w:r>
      <w:r w:rsidR="00C7085D">
        <w:t>en 202</w:t>
      </w:r>
      <w:r w:rsidR="00C319BB">
        <w:t>4</w:t>
      </w:r>
      <w:r w:rsidR="00C7085D">
        <w:t xml:space="preserve"> </w:t>
      </w:r>
      <w:r>
        <w:t xml:space="preserve">lorsque le montant des recettes de l’année précédente ou de l’avant-dernière année n’excède pas :– 77 700 € pour les locations de locaux d’habitation meublés ;– 188 700 € pour les locations de chambres d’hôtes et de meublés de tourisme classés </w:t>
      </w:r>
    </w:p>
    <w:p w14:paraId="60B629B0" w14:textId="4FE607C5" w:rsidR="00D710ED" w:rsidRDefault="00D710ED" w:rsidP="00D7464D">
      <w:pPr>
        <w:pStyle w:val="Paragraphe-CGPC"/>
      </w:pPr>
      <w:r>
        <w:t>Le régime de bénéfice réel est possible (avec un engagement de 2 ans) pour les re</w:t>
      </w:r>
      <w:r w:rsidR="00B901D5">
        <w:t>cettes</w:t>
      </w:r>
      <w:r>
        <w:t xml:space="preserve"> inférieur</w:t>
      </w:r>
      <w:r w:rsidR="00B901D5">
        <w:t>e</w:t>
      </w:r>
      <w:r>
        <w:t>s à 7</w:t>
      </w:r>
      <w:r w:rsidR="00C7085D">
        <w:t>7</w:t>
      </w:r>
      <w:r>
        <w:t xml:space="preserve"> </w:t>
      </w:r>
      <w:r w:rsidR="00C7085D">
        <w:t>7</w:t>
      </w:r>
      <w:r>
        <w:t>00</w:t>
      </w:r>
      <w:r w:rsidR="00B901D5">
        <w:t xml:space="preserve"> €</w:t>
      </w:r>
      <w:r>
        <w:t xml:space="preserve"> (voir modalités ci-dessous). </w:t>
      </w:r>
    </w:p>
    <w:p w14:paraId="476A3674" w14:textId="4D6E8449" w:rsidR="00D710ED" w:rsidRDefault="00D710ED" w:rsidP="00D7464D">
      <w:pPr>
        <w:pStyle w:val="Paragraphe-CGPC"/>
      </w:pPr>
      <w:r>
        <w:t>Si les loyers encaissés sur l’année civile dépassent 7</w:t>
      </w:r>
      <w:r w:rsidR="00C7085D">
        <w:t>7</w:t>
      </w:r>
      <w:r>
        <w:t xml:space="preserve"> </w:t>
      </w:r>
      <w:r w:rsidR="00C7085D">
        <w:t>7</w:t>
      </w:r>
      <w:r>
        <w:t>00€, le régime réel s’applique automatiquemen</w:t>
      </w:r>
      <w:r w:rsidR="00C7085D">
        <w:t>t.</w:t>
      </w:r>
    </w:p>
    <w:p w14:paraId="50B7E119" w14:textId="77777777" w:rsidR="00D710ED" w:rsidRDefault="00D710ED" w:rsidP="00D7464D">
      <w:pPr>
        <w:pStyle w:val="Paragraphe-CGPC"/>
      </w:pPr>
      <w:r>
        <w:t>Dans ce régime, les dépenses réelles sont déductibles comme :</w:t>
      </w:r>
    </w:p>
    <w:p w14:paraId="39435792" w14:textId="77777777" w:rsidR="00D710ED" w:rsidRDefault="00D710ED" w:rsidP="00D7464D">
      <w:pPr>
        <w:pStyle w:val="Paragraphe-CGPC"/>
      </w:pPr>
      <w:r>
        <w:t>Les intérêts d’emprunt et assurance emprunteur</w:t>
      </w:r>
    </w:p>
    <w:p w14:paraId="67834D8F" w14:textId="77777777" w:rsidR="00D710ED" w:rsidRDefault="00D710ED" w:rsidP="00D7464D">
      <w:pPr>
        <w:pStyle w:val="Paragraphe-CGPC"/>
      </w:pPr>
      <w:r>
        <w:t>Les frais d’agence pour l’achat et frais de notaire</w:t>
      </w:r>
    </w:p>
    <w:p w14:paraId="334358C4" w14:textId="77777777" w:rsidR="00D710ED" w:rsidRDefault="00D710ED" w:rsidP="00D7464D">
      <w:pPr>
        <w:pStyle w:val="Paragraphe-CGPC"/>
      </w:pPr>
      <w:r>
        <w:t>Les frais d’agence pour la mise en location ou frais de rédaction du bail</w:t>
      </w:r>
    </w:p>
    <w:p w14:paraId="5560A466" w14:textId="77777777" w:rsidR="005E6E20" w:rsidRDefault="00D710ED" w:rsidP="00D7464D">
      <w:pPr>
        <w:pStyle w:val="Paragraphe-CGPC"/>
      </w:pPr>
      <w:r>
        <w:t>Les primes d’assurances</w:t>
      </w:r>
    </w:p>
    <w:p w14:paraId="5D31EA7C" w14:textId="559878D7" w:rsidR="00D710ED" w:rsidRDefault="00D710ED" w:rsidP="00D7464D">
      <w:pPr>
        <w:pStyle w:val="Paragraphe-CGPC"/>
      </w:pPr>
      <w:r>
        <w:t>Le remplacement de petit électroménager</w:t>
      </w:r>
    </w:p>
    <w:p w14:paraId="5EFD906E" w14:textId="77777777" w:rsidR="00D710ED" w:rsidRDefault="00D710ED" w:rsidP="00D7464D">
      <w:pPr>
        <w:pStyle w:val="Paragraphe-CGPC"/>
      </w:pPr>
      <w:r>
        <w:t>La taxe foncière et CFE</w:t>
      </w:r>
    </w:p>
    <w:p w14:paraId="409AAFB1" w14:textId="77777777" w:rsidR="00D710ED" w:rsidRDefault="00D710ED" w:rsidP="00D7464D">
      <w:pPr>
        <w:pStyle w:val="Paragraphe-CGPC"/>
      </w:pPr>
      <w:r>
        <w:t>Les charges courantes de copropriété hors travaux</w:t>
      </w:r>
    </w:p>
    <w:p w14:paraId="0952EA14" w14:textId="77777777" w:rsidR="00D710ED" w:rsidRDefault="00D710ED" w:rsidP="00D7464D">
      <w:pPr>
        <w:pStyle w:val="Paragraphe-CGPC"/>
      </w:pPr>
      <w:r>
        <w:t>Amortissement du mobilier et des améliorations (sur une durée allant de 5 à 10 ans, pour un taux compris entre 10 % et 20 % par an).</w:t>
      </w:r>
    </w:p>
    <w:p w14:paraId="4CEAAD66" w14:textId="77777777" w:rsidR="00D710ED" w:rsidRDefault="00D710ED" w:rsidP="00D7464D">
      <w:pPr>
        <w:pStyle w:val="Paragraphe-CGPC"/>
      </w:pPr>
      <w:r>
        <w:t>Par ailleurs, le contribuable peut pratiquer l’amortissement des locaux. Le prix d’achat immobilier ne constitue pas une charge déductible, mais peut être amorti en fonction la durée réelle de détention. Si celle-ci est estimée à 50 ans, 2 % du prix du bien peut être déduit pendant cette période chaque année.</w:t>
      </w:r>
    </w:p>
    <w:p w14:paraId="48513458" w14:textId="3AFB25C0" w:rsidR="00C7085D" w:rsidRDefault="00B901D5" w:rsidP="00D7464D">
      <w:pPr>
        <w:pStyle w:val="Paragraphe-CGPC"/>
      </w:pPr>
      <w:r w:rsidRPr="00B901D5">
        <w:rPr>
          <w:b/>
        </w:rPr>
        <w:lastRenderedPageBreak/>
        <w:t>Jusqu’en 2024</w:t>
      </w:r>
      <w:r>
        <w:t> : d</w:t>
      </w:r>
      <w:r w:rsidR="00C7085D">
        <w:t>ans le cas du régime Micro-Bic un abattement forfaitaire de 50 % (avec un minimum de 305 €) représentatif de charges sera automatiquement appliqué sur</w:t>
      </w:r>
      <w:r w:rsidR="00C7085D" w:rsidRPr="00C7085D">
        <w:t xml:space="preserve"> </w:t>
      </w:r>
      <w:r w:rsidR="00C7085D">
        <w:t>le montant total des sommes encaissées (loyers, charges facturées au locataire et provisions pour charges).</w:t>
      </w:r>
    </w:p>
    <w:p w14:paraId="564E24B1" w14:textId="1019A8A9" w:rsidR="00C7085D" w:rsidRDefault="00C7085D" w:rsidP="00D7464D">
      <w:pPr>
        <w:pStyle w:val="Paragraphe-CGPC"/>
      </w:pPr>
      <w:r>
        <w:t xml:space="preserve">Pour des meublés de tourisme classés ou des chambres d’hôtes un abattement forfaitaire de 71 % (avec un minimum de 305 €) sera appliqué. </w:t>
      </w:r>
    </w:p>
    <w:p w14:paraId="2E8959ED" w14:textId="651F7D1D" w:rsidR="00C7085D" w:rsidRDefault="00C7085D" w:rsidP="00D7464D">
      <w:pPr>
        <w:pStyle w:val="Paragraphe-CGPC"/>
      </w:pPr>
      <w:r>
        <w:t xml:space="preserve">Pour des meublés de tourisme classés situés en zones non tendues (B2 ou C) et que </w:t>
      </w:r>
      <w:r w:rsidR="00307782">
        <w:t>l</w:t>
      </w:r>
      <w:r>
        <w:t>e chiffre d’affaire</w:t>
      </w:r>
      <w:r w:rsidR="00307782">
        <w:t>s</w:t>
      </w:r>
      <w:r>
        <w:t xml:space="preserve"> au cours de l’année civile précédente pour ces locations est inférieur à 15 000 €, Un abattement forfaitaire de 92 % (71 % + 21 %), avec un minimum de 305 €, </w:t>
      </w:r>
      <w:r w:rsidR="00307782">
        <w:t>a été</w:t>
      </w:r>
      <w:r>
        <w:t xml:space="preserve"> appliqué. Les zones B2 et C sont celles prévues par l’arrêté du 2 octobre 2023 modifiant l’arrêté du 1er août 2014. Un simulateur permettant de connaître le type de zone (A, A bis, B1, B2 ou C) dont dépend le logement concerné est disponible sur le site Service Public (https://www.service-public.fr/simulateur/ calcul/zonage-abc)</w:t>
      </w:r>
    </w:p>
    <w:p w14:paraId="78DD79F9" w14:textId="0EFE0DF5" w:rsidR="00307782" w:rsidRDefault="0039084D" w:rsidP="00D7464D">
      <w:pPr>
        <w:pStyle w:val="Paragraphe-CGPC"/>
      </w:pPr>
      <w:r w:rsidRPr="00CE53B4">
        <w:t>À</w:t>
      </w:r>
      <w:r w:rsidR="00307782" w:rsidRPr="00CE53B4">
        <w:t xml:space="preserve"> compter </w:t>
      </w:r>
      <w:r w:rsidR="00CE53B4" w:rsidRPr="00CE53B4">
        <w:t>du 1</w:t>
      </w:r>
      <w:r w:rsidR="00CE53B4" w:rsidRPr="00CE53B4">
        <w:rPr>
          <w:vertAlign w:val="superscript"/>
        </w:rPr>
        <w:t>er</w:t>
      </w:r>
      <w:r w:rsidR="00CE53B4" w:rsidRPr="00CE53B4">
        <w:t xml:space="preserve"> janvier 2025</w:t>
      </w:r>
      <w:r w:rsidR="0037769E">
        <w:t xml:space="preserve"> : </w:t>
      </w:r>
    </w:p>
    <w:p w14:paraId="55CADDAC" w14:textId="77777777" w:rsidR="00B94058" w:rsidRPr="00B94058" w:rsidRDefault="00B94058" w:rsidP="00D7464D">
      <w:pPr>
        <w:pStyle w:val="Paragraphe-CGPC"/>
        <w:rPr>
          <w:lang w:eastAsia="en-GB"/>
        </w:rPr>
      </w:pPr>
      <w:r w:rsidRPr="00B94058">
        <w:rPr>
          <w:shd w:val="clear" w:color="auto" w:fill="FFFFFF"/>
          <w:lang w:eastAsia="en-GB"/>
        </w:rPr>
        <w:t>Pour l'appréciation du régime micro-BIC, à compter de l'imposition des revenus de 2025, il convient de retenir (</w:t>
      </w:r>
      <w:r w:rsidRPr="00B94058">
        <w:rPr>
          <w:color w:val="111C48"/>
          <w:shd w:val="clear" w:color="auto" w:fill="FFFFFF"/>
          <w:lang w:eastAsia="en-GB"/>
        </w:rPr>
        <w:t>Loi 2024-1039 du 19-11-2024 art. 7, I et II</w:t>
      </w:r>
      <w:r w:rsidRPr="00B94058">
        <w:rPr>
          <w:shd w:val="clear" w:color="auto" w:fill="FFFFFF"/>
          <w:lang w:eastAsia="en-GB"/>
        </w:rPr>
        <w:t>) :</w:t>
      </w:r>
    </w:p>
    <w:p w14:paraId="62A6F682" w14:textId="77777777" w:rsidR="00B94058" w:rsidRPr="00B94058" w:rsidRDefault="00B94058" w:rsidP="00D7464D">
      <w:pPr>
        <w:pStyle w:val="Paragraphe-CGPC"/>
        <w:rPr>
          <w:lang w:eastAsia="en-GB"/>
        </w:rPr>
      </w:pPr>
      <w:r w:rsidRPr="00B94058">
        <w:rPr>
          <w:lang w:eastAsia="en-GB"/>
        </w:rPr>
        <w:t>-  le seuil de 15 000 € pour les meublés de tourisme non classés, l'abattement forfaitaire pour frais étant alors égal à 30 % ;</w:t>
      </w:r>
    </w:p>
    <w:p w14:paraId="7C7C2823" w14:textId="7C3C6E65" w:rsidR="00C7085D" w:rsidRPr="003325DA" w:rsidRDefault="00B94058" w:rsidP="00D7464D">
      <w:pPr>
        <w:pStyle w:val="Paragraphe-CGPC"/>
      </w:pPr>
      <w:r w:rsidRPr="003325DA">
        <w:t>-  le seuil de 77 700 € pour les meublés de tourisme classés au sens de l'</w:t>
      </w:r>
      <w:hyperlink r:id="rId21" w:history="1">
        <w:r w:rsidRPr="003325DA">
          <w:t>article L 324-1 du Code du tourisme</w:t>
        </w:r>
      </w:hyperlink>
      <w:r w:rsidRPr="003325DA">
        <w:t>, les chambres d'hôtes au sens de l'</w:t>
      </w:r>
      <w:hyperlink r:id="rId22" w:history="1">
        <w:r w:rsidRPr="003325DA">
          <w:t>article L 324-3 du même Code</w:t>
        </w:r>
      </w:hyperlink>
      <w:r w:rsidRPr="003325DA">
        <w:t> et les autres activités de location meublée. L'abattement forfaitaire pour frais est égal dans ce cas à 50 %.</w:t>
      </w:r>
    </w:p>
    <w:p w14:paraId="59DA1502" w14:textId="77777777" w:rsidR="005E6E20" w:rsidRPr="003325DA" w:rsidRDefault="005E6E20" w:rsidP="00D7464D">
      <w:pPr>
        <w:pStyle w:val="Paragraphe-CGPC"/>
      </w:pPr>
    </w:p>
    <w:p w14:paraId="5A5A32C4" w14:textId="664B9410" w:rsidR="00D710ED" w:rsidRPr="003325DA" w:rsidRDefault="00D710ED" w:rsidP="00D7464D">
      <w:pPr>
        <w:pStyle w:val="Paragraphe-CGPC"/>
      </w:pPr>
      <w:r w:rsidRPr="003325DA">
        <w:rPr>
          <w:rStyle w:val="lev"/>
          <w:b w:val="0"/>
          <w:bCs/>
        </w:rPr>
        <w:t>Les plus-values de cession </w:t>
      </w:r>
    </w:p>
    <w:p w14:paraId="515A7F70" w14:textId="6CDE81D4" w:rsidR="00D710ED" w:rsidRPr="003325DA" w:rsidRDefault="00D710ED" w:rsidP="00D7464D">
      <w:pPr>
        <w:pStyle w:val="Paragraphe-CGPC"/>
      </w:pPr>
      <w:r w:rsidRPr="003325DA">
        <w:t>Le LMNP bénéficie du régime des plus-values des particuliers, qui permet d’</w:t>
      </w:r>
      <w:r w:rsidRPr="003325DA">
        <w:rPr>
          <w:rStyle w:val="lev"/>
          <w:b w:val="0"/>
          <w:bCs/>
        </w:rPr>
        <w:t>appliquer une décote de 6%</w:t>
      </w:r>
      <w:r w:rsidRPr="003325DA">
        <w:t> de la valeur du bien de la 6ème année à la 21ème année de détention, puis de 4% la 22ème année, pour arriver à </w:t>
      </w:r>
      <w:r w:rsidRPr="003325DA">
        <w:rPr>
          <w:rStyle w:val="lev"/>
          <w:b w:val="0"/>
          <w:bCs/>
        </w:rPr>
        <w:t>une exonération totale d’impôt sur la plus-value au bout de 2</w:t>
      </w:r>
      <w:r w:rsidR="002C59DF" w:rsidRPr="003325DA">
        <w:rPr>
          <w:rStyle w:val="lev"/>
          <w:b w:val="0"/>
          <w:bCs/>
        </w:rPr>
        <w:t>2</w:t>
      </w:r>
      <w:r w:rsidRPr="003325DA">
        <w:rPr>
          <w:rStyle w:val="lev"/>
          <w:b w:val="0"/>
          <w:bCs/>
        </w:rPr>
        <w:t xml:space="preserve"> ans.</w:t>
      </w:r>
      <w:r w:rsidRPr="003325DA">
        <w:t> Et au bout de 30 ans de détention, le contribuable est également exonéré de prélèvements sociaux.</w:t>
      </w:r>
    </w:p>
    <w:p w14:paraId="1AF57B1A" w14:textId="77777777" w:rsidR="005E6E20" w:rsidRDefault="00645318" w:rsidP="00D7464D">
      <w:pPr>
        <w:pStyle w:val="Paragraphe-CGPC"/>
        <w:rPr>
          <w:lang w:eastAsia="en-GB"/>
        </w:rPr>
      </w:pPr>
      <w:r w:rsidRPr="003325DA">
        <w:t>L'article 84 de</w:t>
      </w:r>
      <w:r w:rsidRPr="00645318">
        <w:rPr>
          <w:lang w:eastAsia="en-GB"/>
        </w:rPr>
        <w:t xml:space="preserve"> la loi de finances pour 2025 complète l'article 150 VB du CGI. </w:t>
      </w:r>
    </w:p>
    <w:p w14:paraId="763D8E14" w14:textId="1E64C565" w:rsidR="00645318" w:rsidRPr="00645318" w:rsidRDefault="00645318" w:rsidP="00D7464D">
      <w:pPr>
        <w:pStyle w:val="Paragraphe-CGPC"/>
        <w:rPr>
          <w:lang w:eastAsia="en-GB"/>
        </w:rPr>
      </w:pPr>
      <w:r w:rsidRPr="00645318">
        <w:rPr>
          <w:lang w:eastAsia="en-GB"/>
        </w:rPr>
        <w:t>Les loueurs en meublé non professionnels doivent minorer le prix d'acquisition du bien cédé du montant des amortissements admis en déduction en application de l'article 39 C du CGI (</w:t>
      </w:r>
      <w:hyperlink r:id="rId23" w:history="1">
        <w:r w:rsidRPr="00645318">
          <w:rPr>
            <w:u w:val="single"/>
            <w:lang w:eastAsia="en-GB"/>
          </w:rPr>
          <w:t>CGI art. 150 VB, III</w:t>
        </w:r>
      </w:hyperlink>
      <w:r w:rsidRPr="00645318">
        <w:rPr>
          <w:lang w:eastAsia="en-GB"/>
        </w:rPr>
        <w:t> nouveau).</w:t>
      </w:r>
    </w:p>
    <w:p w14:paraId="3280976B" w14:textId="776DBE60" w:rsidR="00645318" w:rsidRPr="00645318" w:rsidRDefault="00645318" w:rsidP="00D7464D">
      <w:pPr>
        <w:pStyle w:val="Paragraphe-CGPC"/>
        <w:rPr>
          <w:lang w:eastAsia="en-GB"/>
        </w:rPr>
      </w:pPr>
      <w:r w:rsidRPr="00645318">
        <w:rPr>
          <w:lang w:eastAsia="en-GB"/>
        </w:rPr>
        <w:t>Les dispositions de l'article 39 C, II-2 du CGI limitent en effet le montant déductible de l'amortissement des biens loués par une personne physique à un montant correspondant à la différence entre le montant du loyer acquis et celui de l'ensemble des autres charges afférentes aux biens loués (frais d'entretien, de réparation, d'assurances…).</w:t>
      </w:r>
    </w:p>
    <w:p w14:paraId="1F9E83D8" w14:textId="77777777" w:rsidR="00645318" w:rsidRPr="009D425B" w:rsidRDefault="00645318" w:rsidP="00D7464D">
      <w:pPr>
        <w:pStyle w:val="Paragraphe-CGPC"/>
        <w:rPr>
          <w:lang w:eastAsia="en-GB"/>
        </w:rPr>
      </w:pPr>
      <w:r w:rsidRPr="00645318">
        <w:rPr>
          <w:lang w:eastAsia="en-GB"/>
        </w:rPr>
        <w:lastRenderedPageBreak/>
        <w:t xml:space="preserve">Désormais, la plus-value de cession des biens ayant été loués par les loueurs en meublé non professionnels se détermine selon la formule suivante : </w:t>
      </w:r>
    </w:p>
    <w:p w14:paraId="452F9DF5" w14:textId="2600C110" w:rsidR="005E6E20" w:rsidRDefault="00645318" w:rsidP="00D7464D">
      <w:pPr>
        <w:pStyle w:val="Paragraphe-CGPC"/>
        <w:rPr>
          <w:lang w:eastAsia="en-GB"/>
        </w:rPr>
      </w:pPr>
      <w:r w:rsidRPr="009D425B">
        <w:rPr>
          <w:lang w:eastAsia="en-GB"/>
        </w:rPr>
        <w:t xml:space="preserve">PV = </w:t>
      </w:r>
      <w:r w:rsidRPr="00645318">
        <w:rPr>
          <w:lang w:eastAsia="en-GB"/>
        </w:rPr>
        <w:t>prix de cession - (prix d'acquisition - amortissements déduits).</w:t>
      </w:r>
    </w:p>
    <w:p w14:paraId="14305944" w14:textId="6C547CE2" w:rsidR="009D425B" w:rsidRDefault="009D425B" w:rsidP="00D7464D">
      <w:pPr>
        <w:pStyle w:val="Paragraphe-CGPC"/>
        <w:rPr>
          <w:lang w:eastAsia="en-GB"/>
        </w:rPr>
      </w:pPr>
      <w:r>
        <w:rPr>
          <w:lang w:eastAsia="en-GB"/>
        </w:rPr>
        <w:t xml:space="preserve">Exemple : </w:t>
      </w:r>
    </w:p>
    <w:p w14:paraId="7625385E" w14:textId="77777777" w:rsidR="009D425B" w:rsidRDefault="009D425B" w:rsidP="00D7464D">
      <w:pPr>
        <w:pStyle w:val="Paragraphe-CGPC"/>
        <w:rPr>
          <w:rStyle w:val="txt"/>
        </w:rPr>
      </w:pPr>
      <w:r w:rsidRPr="009D425B">
        <w:rPr>
          <w:rStyle w:val="txt"/>
        </w:rPr>
        <w:t>Un loueur en meublé non professionnel vend le 1</w:t>
      </w:r>
      <w:r w:rsidRPr="009D425B">
        <w:rPr>
          <w:rStyle w:val="qw-sup"/>
          <w:shd w:val="clear" w:color="auto" w:fill="FFFFFF"/>
          <w:vertAlign w:val="superscript"/>
        </w:rPr>
        <w:t>er</w:t>
      </w:r>
      <w:r w:rsidRPr="009D425B">
        <w:rPr>
          <w:rStyle w:val="txt"/>
        </w:rPr>
        <w:t> mars 2025 pour 280 000 € un immeuble acheté 200 000 € mis en location. Soumis au régime du réel normal, il a pu amortir son bien et déduire 30 000 € d'amortissements de ses revenus tirés de la location meublée.</w:t>
      </w:r>
    </w:p>
    <w:p w14:paraId="3B323767" w14:textId="0CF06091" w:rsidR="009D425B" w:rsidRDefault="009D425B" w:rsidP="00D7464D">
      <w:pPr>
        <w:pStyle w:val="Paragraphe-CGPC"/>
        <w:rPr>
          <w:rStyle w:val="txt"/>
        </w:rPr>
      </w:pPr>
      <w:r w:rsidRPr="009D425B">
        <w:rPr>
          <w:rStyle w:val="txt"/>
        </w:rPr>
        <w:t>Avant l'intervention de l'article 84 de la loi de finances pour 2025, la plus-value imposable s'élevait à : 80 000 € (280 000 € - 200 000 €).</w:t>
      </w:r>
      <w:r w:rsidRPr="009D425B">
        <w:rPr>
          <w:color w:val="0E1C2C"/>
        </w:rPr>
        <w:br/>
      </w:r>
      <w:r w:rsidRPr="009D425B">
        <w:rPr>
          <w:rStyle w:val="txt"/>
        </w:rPr>
        <w:t>En application des règles issues de l'article 84 précité, la plus-value s'élève à : 110 000 € [280 000 € - (200 000 € - 30 000 €)].</w:t>
      </w:r>
    </w:p>
    <w:p w14:paraId="48EFD8F9" w14:textId="77777777" w:rsidR="00E22409" w:rsidRDefault="00E22409" w:rsidP="00D7464D">
      <w:pPr>
        <w:pStyle w:val="Paragraphe-CGPC"/>
      </w:pPr>
    </w:p>
    <w:p w14:paraId="17D7DDA8" w14:textId="21401260" w:rsidR="00D710ED" w:rsidRPr="00F72B1D" w:rsidRDefault="00D710ED" w:rsidP="00A831FE">
      <w:pPr>
        <w:pStyle w:val="Titre2"/>
      </w:pPr>
      <w:bookmarkStart w:id="28" w:name="_Toc207194630"/>
      <w:r w:rsidRPr="00F72B1D">
        <w:t>Le régime fiscal du LMP</w:t>
      </w:r>
      <w:bookmarkEnd w:id="28"/>
      <w:r w:rsidRPr="00F72B1D">
        <w:t> </w:t>
      </w:r>
    </w:p>
    <w:p w14:paraId="4F5F3412" w14:textId="77777777" w:rsidR="00D710ED" w:rsidRPr="0039084D" w:rsidRDefault="00D710ED" w:rsidP="00D7464D">
      <w:pPr>
        <w:pStyle w:val="Paragraphe-CGPC"/>
      </w:pPr>
      <w:r w:rsidRPr="0039084D">
        <w:rPr>
          <w:rStyle w:val="Accentuation"/>
          <w:i w:val="0"/>
          <w:iCs w:val="0"/>
        </w:rPr>
        <w:t>(voir également chapitre 4 du module 3)</w:t>
      </w:r>
    </w:p>
    <w:p w14:paraId="125D7FAB" w14:textId="77777777" w:rsidR="00D710ED" w:rsidRPr="0039084D" w:rsidRDefault="00D710ED" w:rsidP="00D7464D">
      <w:pPr>
        <w:pStyle w:val="Paragraphe-CGPC"/>
      </w:pPr>
      <w:r w:rsidRPr="0039084D">
        <w:t>La location en meublé, sans prestation de service, n’est pas soumise à la TVA.</w:t>
      </w:r>
    </w:p>
    <w:p w14:paraId="27F77088" w14:textId="77777777" w:rsidR="00D710ED" w:rsidRPr="0039084D" w:rsidRDefault="00D710ED" w:rsidP="00D7464D">
      <w:pPr>
        <w:pStyle w:val="Paragraphe-CGPC"/>
      </w:pPr>
      <w:r w:rsidRPr="0039084D">
        <w:t>Les revenus de location meublée professionnelle doivent être déclarés sous l’un des régimes suivants, en fonction de la structure juridique choisie par l’entrepreneur :</w:t>
      </w:r>
    </w:p>
    <w:p w14:paraId="5AA4C7BA" w14:textId="77777777" w:rsidR="00D710ED" w:rsidRPr="0039084D" w:rsidRDefault="00D710ED" w:rsidP="00D7464D">
      <w:pPr>
        <w:pStyle w:val="Paragraphe-CGPC"/>
      </w:pPr>
      <w:r w:rsidRPr="0039084D">
        <w:t>Si l’entrepreneur a opté pour l’imposition sur le revenu, il devra déclarer ses revenus de location dans la catégorie des BIC ;</w:t>
      </w:r>
    </w:p>
    <w:p w14:paraId="7E8F1EDB" w14:textId="77777777" w:rsidR="00D710ED" w:rsidRPr="0039084D" w:rsidRDefault="00D710ED" w:rsidP="00D7464D">
      <w:pPr>
        <w:pStyle w:val="Paragraphe-CGPC"/>
      </w:pPr>
      <w:r w:rsidRPr="0039084D">
        <w:t>Si l’entrepreneur a opté pour l’impôt sur les sociétés, il devra déclarer ses revenus de locations sur le formulaire </w:t>
      </w:r>
      <w:hyperlink r:id="rId24" w:history="1">
        <w:r w:rsidRPr="0039084D">
          <w:rPr>
            <w:rStyle w:val="Lienhypertexte"/>
            <w:color w:val="000000"/>
            <w:u w:val="none"/>
          </w:rPr>
          <w:t>n°2065-SD</w:t>
        </w:r>
      </w:hyperlink>
    </w:p>
    <w:p w14:paraId="539FB42A" w14:textId="77777777" w:rsidR="00D710ED" w:rsidRPr="0039084D" w:rsidRDefault="00D710ED" w:rsidP="00D7464D">
      <w:pPr>
        <w:pStyle w:val="Paragraphe-CGPC"/>
      </w:pPr>
      <w:r w:rsidRPr="0039084D">
        <w:t>L’entrepreneur est dépendant du régime de la micro-entreprise (auto-entrepreneur) si son chiffre d’affaires hors taxe ne dépasse pas 176 200 € pour les meublés classés et 72 600 € pour les meublés non classés.</w:t>
      </w:r>
    </w:p>
    <w:p w14:paraId="30CF8BCC" w14:textId="77777777" w:rsidR="00D710ED" w:rsidRPr="0039084D" w:rsidRDefault="00D710ED" w:rsidP="00D7464D">
      <w:pPr>
        <w:pStyle w:val="Paragraphe-CGPC"/>
      </w:pPr>
      <w:r w:rsidRPr="0039084D">
        <w:t>L’activité de loueur meublé professionnel est soumise au régime réel d’imposition (sauf pour la micro entreprise). De ce fait les charges peuvent être déduites du résultat fiscal (les loyers):</w:t>
      </w:r>
    </w:p>
    <w:p w14:paraId="2532D11A" w14:textId="77777777" w:rsidR="00D710ED" w:rsidRPr="0039084D" w:rsidRDefault="00D710ED" w:rsidP="00D7464D">
      <w:pPr>
        <w:pStyle w:val="Paragraphe-CGPC"/>
      </w:pPr>
      <w:r w:rsidRPr="0039084D">
        <w:t>Frais d’établissement (frais de notaire, de constitution de société notamment)</w:t>
      </w:r>
    </w:p>
    <w:p w14:paraId="298C8A91" w14:textId="77777777" w:rsidR="00D710ED" w:rsidRPr="0039084D" w:rsidRDefault="00D710ED" w:rsidP="00D7464D">
      <w:pPr>
        <w:pStyle w:val="Paragraphe-CGPC"/>
      </w:pPr>
      <w:r w:rsidRPr="0039084D">
        <w:t>Frais d’entretien et de réparation</w:t>
      </w:r>
    </w:p>
    <w:p w14:paraId="0FACB864" w14:textId="77777777" w:rsidR="00D710ED" w:rsidRPr="0039084D" w:rsidRDefault="00D710ED" w:rsidP="00D7464D">
      <w:pPr>
        <w:pStyle w:val="Paragraphe-CGPC"/>
      </w:pPr>
      <w:r w:rsidRPr="0039084D">
        <w:lastRenderedPageBreak/>
        <w:t>Impôts locaux</w:t>
      </w:r>
    </w:p>
    <w:p w14:paraId="702A9464" w14:textId="77777777" w:rsidR="00D710ED" w:rsidRPr="0039084D" w:rsidRDefault="00D710ED" w:rsidP="00D7464D">
      <w:pPr>
        <w:pStyle w:val="Paragraphe-CGPC"/>
      </w:pPr>
      <w:r w:rsidRPr="0039084D">
        <w:t>Frais de gestion et d’assurances</w:t>
      </w:r>
    </w:p>
    <w:p w14:paraId="2C8BA5C8" w14:textId="77777777" w:rsidR="00D710ED" w:rsidRPr="0039084D" w:rsidRDefault="00D710ED" w:rsidP="00D7464D">
      <w:pPr>
        <w:pStyle w:val="Paragraphe-CGPC"/>
      </w:pPr>
      <w:r w:rsidRPr="0039084D">
        <w:t>Intérêts d’emprunt</w:t>
      </w:r>
    </w:p>
    <w:p w14:paraId="0463C167" w14:textId="77777777" w:rsidR="00D710ED" w:rsidRPr="0039084D" w:rsidRDefault="00D710ED" w:rsidP="00D7464D">
      <w:pPr>
        <w:pStyle w:val="Paragraphe-CGPC"/>
      </w:pPr>
      <w:r w:rsidRPr="0039084D">
        <w:rPr>
          <w:rStyle w:val="Accentuation"/>
          <w:i w:val="0"/>
          <w:iCs w:val="0"/>
        </w:rPr>
        <w:t>Amortissement </w:t>
      </w:r>
      <w:r w:rsidRPr="0039084D">
        <w:t>du mobilier et des améliorations (sur une durée allant de 5 à 10 ans, pour un taux compris entre 10 % et 20 % par an)</w:t>
      </w:r>
    </w:p>
    <w:p w14:paraId="01FF346F" w14:textId="77777777" w:rsidR="00D710ED" w:rsidRPr="0039084D" w:rsidRDefault="00D710ED" w:rsidP="00D7464D">
      <w:pPr>
        <w:pStyle w:val="Paragraphe-CGPC"/>
      </w:pPr>
      <w:r w:rsidRPr="0039084D">
        <w:t>Par ailleurs, le professionnel peut pratiquer l’amortissement des locaux. Le prix d’achat immobilier ne constitue pas une charge déductible, mais peut être amorti en fonction la durée réelle de détention.</w:t>
      </w:r>
    </w:p>
    <w:p w14:paraId="368B39A7" w14:textId="77777777" w:rsidR="00D710ED" w:rsidRPr="0039084D" w:rsidRDefault="00D710ED" w:rsidP="00D7464D">
      <w:pPr>
        <w:pStyle w:val="Paragraphe-CGPC"/>
      </w:pPr>
      <w:r w:rsidRPr="0039084D">
        <w:t>L’amortissement doit être pratiqué sur une base hors foncier, et sur une période d’au minimum 25 ans.</w:t>
      </w:r>
    </w:p>
    <w:p w14:paraId="162F7F69" w14:textId="77777777" w:rsidR="00D710ED" w:rsidRPr="0039084D" w:rsidRDefault="00D710ED" w:rsidP="00D7464D">
      <w:pPr>
        <w:pStyle w:val="Paragraphe-CGPC"/>
      </w:pPr>
      <w:r w:rsidRPr="0039084D">
        <w:t> Si celle-ci est estimée à 50 ans, 2 % du prix du bien peut être déduit pendant cette période chaque année</w:t>
      </w:r>
    </w:p>
    <w:p w14:paraId="37378B0E" w14:textId="77777777" w:rsidR="00D710ED" w:rsidRPr="0039084D" w:rsidRDefault="00D710ED" w:rsidP="00D7464D">
      <w:pPr>
        <w:pStyle w:val="Paragraphe-CGPC"/>
      </w:pPr>
      <w:r w:rsidRPr="0039084D">
        <w:rPr>
          <w:rStyle w:val="lev"/>
          <w:b w:val="0"/>
          <w:bCs/>
        </w:rPr>
        <w:t>Exonération des plus-values de cession :</w:t>
      </w:r>
    </w:p>
    <w:p w14:paraId="68DE5C7E" w14:textId="15C0299A" w:rsidR="00D710ED" w:rsidRPr="0039084D" w:rsidRDefault="00D710ED" w:rsidP="00D7464D">
      <w:pPr>
        <w:pStyle w:val="Paragraphe-CGPC"/>
      </w:pPr>
      <w:r w:rsidRPr="0039084D">
        <w:t xml:space="preserve">Les LMP qui ont perçu moins de 90 000 euros au cours des deux années précédant la revente bénéficient d’une exonération totale d’impôt sur les plus-values professionnelles </w:t>
      </w:r>
      <w:r w:rsidR="009D425B" w:rsidRPr="0039084D">
        <w:t>à condition que l’activité professionnelle ait été exercée pendant au moins cinq années, dont il n’est pas exigé qu’elles soient consécutives</w:t>
      </w:r>
      <w:r w:rsidRPr="0039084D">
        <w:t>. Au-delà de 90 000 euros et jusqu’à 126 000 euros de loyers, ils profitent d’une exonération partielle d’impôt.</w:t>
      </w:r>
    </w:p>
    <w:p w14:paraId="54C0AC3A" w14:textId="724A6331" w:rsidR="00D710ED" w:rsidRPr="00F72B1D" w:rsidRDefault="00D710ED" w:rsidP="00A831FE">
      <w:pPr>
        <w:pStyle w:val="Titre2"/>
      </w:pPr>
      <w:bookmarkStart w:id="29" w:name="_Toc207194631"/>
      <w:r w:rsidRPr="00F72B1D">
        <w:t>Le régime du dispositif CENSI-BOUVARD</w:t>
      </w:r>
      <w:bookmarkEnd w:id="29"/>
      <w:r w:rsidRPr="00F72B1D">
        <w:t> </w:t>
      </w:r>
    </w:p>
    <w:p w14:paraId="7E9C033C" w14:textId="77777777" w:rsidR="00D710ED" w:rsidRDefault="00D710ED" w:rsidP="00D7464D">
      <w:pPr>
        <w:pStyle w:val="Paragraphe-CGPC"/>
      </w:pPr>
      <w:r>
        <w:t>Entré en vigueur en 2009, le dispositif Censi-Bouvard s’est terminé le 31 décembre 2022.</w:t>
      </w:r>
    </w:p>
    <w:p w14:paraId="423510A7" w14:textId="77777777" w:rsidR="00D710ED" w:rsidRDefault="00D710ED" w:rsidP="00D7464D">
      <w:pPr>
        <w:pStyle w:val="Paragraphe-CGPC"/>
      </w:pPr>
      <w:r>
        <w:t>La réduction d’impôt créé par le dispositif CENSI BOUVARD est calculée sur le prix de revient des logements, dans la </w:t>
      </w:r>
      <w:r>
        <w:rPr>
          <w:rStyle w:val="Accentuation"/>
          <w:rFonts w:eastAsiaTheme="majorEastAsia"/>
          <w:color w:val="666666"/>
          <w:sz w:val="21"/>
          <w:szCs w:val="21"/>
        </w:rPr>
        <w:t>limite globale de 300 000 € par an.</w:t>
      </w:r>
    </w:p>
    <w:p w14:paraId="08CCBA40" w14:textId="77777777" w:rsidR="00D710ED" w:rsidRDefault="00D710ED" w:rsidP="00D7464D">
      <w:pPr>
        <w:pStyle w:val="Paragraphe-CGPC"/>
      </w:pPr>
      <w:r>
        <w:t>Le taux de la réduction est égal à </w:t>
      </w:r>
      <w:r>
        <w:rPr>
          <w:rStyle w:val="Accentuation"/>
          <w:rFonts w:eastAsiaTheme="majorEastAsia"/>
          <w:color w:val="666666"/>
          <w:sz w:val="21"/>
          <w:szCs w:val="21"/>
        </w:rPr>
        <w:t>11 %</w:t>
      </w:r>
    </w:p>
    <w:p w14:paraId="3111EC16" w14:textId="77777777" w:rsidR="00D710ED" w:rsidRDefault="00D710ED" w:rsidP="00D7464D">
      <w:pPr>
        <w:pStyle w:val="Paragraphe-CGPC"/>
      </w:pPr>
      <w:r>
        <w:t>Cet investissement est soumis au plafonnement global des niches fiscales de 10 000 euros.</w:t>
      </w:r>
    </w:p>
    <w:p w14:paraId="179AE2BC" w14:textId="58B74582" w:rsidR="00D710ED" w:rsidRDefault="003B512E" w:rsidP="00D7464D">
      <w:pPr>
        <w:pStyle w:val="Paragraphe-CGPC"/>
      </w:pPr>
      <w:r>
        <w:t>Dans ce cadre l’amortissement éventuellement pratiqué sur le montant de l’investissement à hauteur de 300 000 € n’est pas déductible fiscalement ni reportable</w:t>
      </w:r>
    </w:p>
    <w:p w14:paraId="2BF8F880" w14:textId="12BC2356" w:rsidR="00D710ED" w:rsidRPr="00F72B1D" w:rsidRDefault="00D710ED" w:rsidP="00A831FE">
      <w:pPr>
        <w:pStyle w:val="Titre2"/>
      </w:pPr>
      <w:bookmarkStart w:id="30" w:name="_Toc207194632"/>
      <w:r w:rsidRPr="00F72B1D">
        <w:lastRenderedPageBreak/>
        <w:t>Le dispositif Malraux</w:t>
      </w:r>
      <w:bookmarkEnd w:id="30"/>
      <w:r w:rsidRPr="00F72B1D">
        <w:t> </w:t>
      </w:r>
    </w:p>
    <w:p w14:paraId="096214CE" w14:textId="77777777" w:rsidR="00D710ED" w:rsidRDefault="00D710ED" w:rsidP="00D7464D">
      <w:pPr>
        <w:pStyle w:val="Paragraphe-CGPC"/>
      </w:pPr>
      <w:r>
        <w:t>La réduction d’impôt du dispositif MALRAUX est calculée sur le montant des dépenses effectivement supportées par le contribuable, dans la limite de 400 000 € (Plafond pluriannuel sur 4 ans).</w:t>
      </w:r>
    </w:p>
    <w:p w14:paraId="1C72792A" w14:textId="1402625D" w:rsidR="007475EE" w:rsidRDefault="007475EE" w:rsidP="00D7464D">
      <w:pPr>
        <w:pStyle w:val="Paragraphe-CGPC"/>
      </w:pPr>
      <w:r>
        <w:t>Le montant des dépenses éligibles à la réduction d’impôt ne peut pas excéder 400 000 € au titre d’une période comprise entre la date de délivrance du permis de construire ou de l’expiration du délai d’opposition à la déclaration préalable et le 31 décembre de la 3e année suivante. Cette période de quatre années consécutives est, le cas échéant, prolongée du délai durant lequel les travaux sont interrompus ou ralentis en cas de découverte de vestiges archéologiques ou par l’effet de la force majeure</w:t>
      </w:r>
    </w:p>
    <w:p w14:paraId="12C4CF32" w14:textId="77777777" w:rsidR="00D710ED" w:rsidRDefault="00D710ED" w:rsidP="00D7464D">
      <w:pPr>
        <w:pStyle w:val="Paragraphe-CGPC"/>
      </w:pPr>
      <w:r>
        <w:t>La réduction d’impôt s’étale sur la période du paiement des travaux et, si elle est supérieure à l’impôt dû par l’investisseur, alors celui-ci peut le reporter les 3 années suivantes.</w:t>
      </w:r>
    </w:p>
    <w:p w14:paraId="234D7906" w14:textId="77777777" w:rsidR="00D710ED" w:rsidRPr="0039084D" w:rsidRDefault="00D710ED" w:rsidP="00D7464D">
      <w:pPr>
        <w:pStyle w:val="Paragraphe-CGPC"/>
      </w:pPr>
      <w:r w:rsidRPr="0039084D">
        <w:t>Le bien doit être mis en location dans l’année suivant l’achèvement des travaux, pendant une période de 9 ans minimum et être affecté à la résidence principale du locataire.</w:t>
      </w:r>
    </w:p>
    <w:p w14:paraId="6E289612" w14:textId="4A701F66" w:rsidR="00D710ED" w:rsidRPr="0039084D" w:rsidRDefault="00D710ED" w:rsidP="00D7464D">
      <w:pPr>
        <w:pStyle w:val="Paragraphe-CGPC"/>
      </w:pPr>
      <w:r w:rsidRPr="0039084D">
        <w:rPr>
          <w:rStyle w:val="Accentuation"/>
          <w:i w:val="0"/>
          <w:iCs w:val="0"/>
        </w:rPr>
        <w:t>NB :</w:t>
      </w:r>
      <w:r w:rsidRPr="0039084D">
        <w:t> </w:t>
      </w:r>
      <w:r w:rsidRPr="0039084D">
        <w:rPr>
          <w:rStyle w:val="Accentuation"/>
          <w:i w:val="0"/>
          <w:iCs w:val="0"/>
        </w:rPr>
        <w:t>Ce dispositif échappe au plafonnement des niches fiscales.</w:t>
      </w:r>
    </w:p>
    <w:p w14:paraId="261227E7" w14:textId="77777777" w:rsidR="00D710ED" w:rsidRDefault="00D710ED" w:rsidP="00D7464D">
      <w:pPr>
        <w:pStyle w:val="Paragraphe-CGPC"/>
      </w:pPr>
      <w:r w:rsidRPr="0039084D">
        <w:t>Il n’est pas cumulable, pour un même logement</w:t>
      </w:r>
      <w:r>
        <w:t>, avec les réductions d’impôt au titre des investissements locatifs réalisés dans le tourisme, des investissements outre-mer, ni avec la réduction d’impôt « PINEL ».</w:t>
      </w:r>
    </w:p>
    <w:p w14:paraId="21918A08" w14:textId="77777777" w:rsidR="00D710ED" w:rsidRDefault="00D710ED" w:rsidP="00D7464D">
      <w:pPr>
        <w:pStyle w:val="Paragraphe-CGPC"/>
      </w:pPr>
      <w:r>
        <w:t>Le taux de réduction d’impôt est de :</w:t>
      </w:r>
    </w:p>
    <w:p w14:paraId="676928D3" w14:textId="77777777" w:rsidR="00D710ED" w:rsidRDefault="00D710ED" w:rsidP="00D7464D">
      <w:pPr>
        <w:pStyle w:val="Paragraphe-CGPC"/>
      </w:pPr>
      <w:r>
        <w:t>30% des dépenses engagées pour les immeubles du périmètre d’un site patrimonial remarquable, couvert par un plan de sauvegarde et de mise en valeur et approuvé par un plan de valorisation de l’architecture et du patrimoine, dans un quartier ancien dégradé ou dans un quartier présentant une concentration élevée d’habitat ancien dégradé.</w:t>
      </w:r>
    </w:p>
    <w:p w14:paraId="48501146" w14:textId="77777777" w:rsidR="00D710ED" w:rsidRDefault="00D710ED" w:rsidP="00D7464D">
      <w:pPr>
        <w:pStyle w:val="Paragraphe-CGPC"/>
      </w:pPr>
      <w:r>
        <w:t>22% des dépenses engagés pour les immeubles d’un site patrimonial remarquable couvert par un plan de valorisation de l’architecture et du patrimoine approuvé ou opération de restauration déclarée d’utilité publique.</w:t>
      </w:r>
    </w:p>
    <w:p w14:paraId="42B3967A" w14:textId="6D3FE6C9" w:rsidR="00D710ED" w:rsidRPr="00F72B1D" w:rsidRDefault="00D710ED" w:rsidP="00A831FE">
      <w:pPr>
        <w:pStyle w:val="Titre2"/>
      </w:pPr>
      <w:bookmarkStart w:id="31" w:name="_Toc207194633"/>
      <w:r w:rsidRPr="00F72B1D">
        <w:lastRenderedPageBreak/>
        <w:t>Les avantages fiscaux pour détention d’immeubles classés monuments historiques ou inscrits à l’inventaire supplémentaire</w:t>
      </w:r>
      <w:bookmarkEnd w:id="31"/>
    </w:p>
    <w:p w14:paraId="7EA09D4F" w14:textId="77777777" w:rsidR="00D710ED" w:rsidRPr="00F72B1D" w:rsidRDefault="00D710ED" w:rsidP="00D7464D">
      <w:pPr>
        <w:pStyle w:val="Paragraphe-CGPC"/>
      </w:pPr>
      <w:r w:rsidRPr="00F72B1D">
        <w:t>Les propriétaires d’immeubles classés monuments historiques ou inscrits à l’inventaire supplémentaire, ainsi que des immeubles possédant un label de la fondation du patrimoine, bénéficient d’avantages fiscaux en matière de droits de succession et de déductions de charges foncières plus favorables que le droit commun.</w:t>
      </w:r>
    </w:p>
    <w:p w14:paraId="72BFDB7A" w14:textId="77777777" w:rsidR="00D710ED" w:rsidRPr="00F72B1D" w:rsidRDefault="00D710ED" w:rsidP="00D7464D">
      <w:pPr>
        <w:pStyle w:val="Paragraphe-CGPC"/>
      </w:pPr>
      <w:r w:rsidRPr="00F72B1D">
        <w:t>Le régime fiscal des monuments historiques est accordé dans le respect des conditions suivantes :</w:t>
      </w:r>
    </w:p>
    <w:p w14:paraId="4553DA38" w14:textId="77777777" w:rsidR="00D710ED" w:rsidRPr="00F72B1D" w:rsidRDefault="00D710ED" w:rsidP="00D7464D">
      <w:pPr>
        <w:pStyle w:val="Paragraphe-CGPC"/>
      </w:pPr>
      <w:r w:rsidRPr="00F72B1D">
        <w:t>Le (les) propriétaire s’engage a conserver l’immeuble pendant une période d’au moins quinze ans</w:t>
      </w:r>
    </w:p>
    <w:p w14:paraId="3CE77CC5" w14:textId="77777777" w:rsidR="00D710ED" w:rsidRPr="00F72B1D" w:rsidRDefault="00D710ED" w:rsidP="00D7464D">
      <w:pPr>
        <w:pStyle w:val="Paragraphe-CGPC"/>
      </w:pPr>
      <w:r w:rsidRPr="00F72B1D">
        <w:t>L’immeuble doit être détenu directement par le contribuable ou par une société civile non soumise à l’IS</w:t>
      </w:r>
    </w:p>
    <w:p w14:paraId="17AA7706" w14:textId="77777777" w:rsidR="00D710ED" w:rsidRPr="00F72B1D" w:rsidRDefault="00D710ED" w:rsidP="00D7464D">
      <w:pPr>
        <w:pStyle w:val="Paragraphe-CGPC"/>
      </w:pPr>
      <w:r w:rsidRPr="00F72B1D">
        <w:t>Si la société est constituée entre les membres d’une même famille (SCI familiale)</w:t>
      </w:r>
    </w:p>
    <w:p w14:paraId="01A4D269" w14:textId="77777777" w:rsidR="00D710ED" w:rsidRPr="00F72B1D" w:rsidRDefault="00D710ED" w:rsidP="00D7464D">
      <w:pPr>
        <w:pStyle w:val="Paragraphe-CGPC"/>
      </w:pPr>
      <w:r w:rsidRPr="00F72B1D">
        <w:t>Si elle affecte le monument à un espace culturel non commercial ouvert au public au moins pendant 15 ans</w:t>
      </w:r>
    </w:p>
    <w:p w14:paraId="2B28C696" w14:textId="77777777" w:rsidR="00D710ED" w:rsidRPr="00F72B1D" w:rsidRDefault="00D710ED" w:rsidP="00D7464D">
      <w:pPr>
        <w:pStyle w:val="Paragraphe-CGPC"/>
      </w:pPr>
      <w:r w:rsidRPr="00F72B1D">
        <w:t>Si l’immeuble acquis depuis le 01/01/2018 par la société est affecté (dans les 2 ans de l’acquisition) à l’habitation pour au moins 75% des surfaces habitables</w:t>
      </w:r>
    </w:p>
    <w:p w14:paraId="5657240F" w14:textId="3575D97E" w:rsidR="00D710ED" w:rsidRPr="00F72B1D" w:rsidRDefault="00D710ED" w:rsidP="00D7464D">
      <w:pPr>
        <w:pStyle w:val="Paragraphe-CGPC"/>
      </w:pPr>
      <w:r w:rsidRPr="00D7464D">
        <w:rPr>
          <w:b/>
          <w:bCs w:val="0"/>
          <w:u w:val="single"/>
        </w:rPr>
        <w:t>Nota :</w:t>
      </w:r>
      <w:r w:rsidRPr="00F72B1D">
        <w:t> Lors d’un démembrement de propriété l’engagement de conservation de l’immeuble pendant quinze ans s’applique tant au nu-propriétaire qu’à l’usufruitier.</w:t>
      </w:r>
    </w:p>
    <w:p w14:paraId="680F484C" w14:textId="77777777" w:rsidR="00D710ED" w:rsidRPr="00F72B1D" w:rsidRDefault="00D710ED" w:rsidP="00D7464D">
      <w:pPr>
        <w:pStyle w:val="Paragraphe-CGPC"/>
      </w:pPr>
      <w:r w:rsidRPr="00F72B1D">
        <w:t>Les charges déductibles des revenus sont les suivantes :</w:t>
      </w:r>
    </w:p>
    <w:p w14:paraId="2D5582E6" w14:textId="77777777" w:rsidR="00D710ED" w:rsidRPr="00F72B1D" w:rsidRDefault="00D710ED" w:rsidP="00D7464D">
      <w:pPr>
        <w:pStyle w:val="Paragraphe-CGPC"/>
      </w:pPr>
      <w:r w:rsidRPr="00F72B1D">
        <w:t>1) Si l’immeuble procure des recettes imposables et n’est pas occupé par son propriétaire</w:t>
      </w:r>
    </w:p>
    <w:p w14:paraId="448B6BA0" w14:textId="77777777" w:rsidR="00D710ED" w:rsidRPr="00F72B1D" w:rsidRDefault="00D710ED" w:rsidP="00D7464D">
      <w:pPr>
        <w:pStyle w:val="Paragraphe-CGPC"/>
      </w:pPr>
      <w:r w:rsidRPr="00F72B1D">
        <w:t>(Immeuble loué en totalité ou non loué mais avec des recettes sur droit de visite ou celles procurées par des espaces publicitaires sur bâches d’échafaudage installées lors de travaux)</w:t>
      </w:r>
    </w:p>
    <w:p w14:paraId="33ACAA33" w14:textId="77777777" w:rsidR="00D710ED" w:rsidRPr="00F72B1D" w:rsidRDefault="00D710ED" w:rsidP="00D7464D">
      <w:pPr>
        <w:pStyle w:val="Paragraphe-CGPC"/>
      </w:pPr>
      <w:r w:rsidRPr="00F72B1D">
        <w:t>Alors la totalité des charges foncières de l’immeuble est imputé sur les revenus fonciers.</w:t>
      </w:r>
    </w:p>
    <w:p w14:paraId="020A2E8A" w14:textId="77777777" w:rsidR="00D710ED" w:rsidRPr="00F72B1D" w:rsidRDefault="00D710ED" w:rsidP="00D7464D">
      <w:pPr>
        <w:pStyle w:val="Paragraphe-CGPC"/>
      </w:pPr>
      <w:r w:rsidRPr="00F72B1D">
        <w:t>En cas de déficit foncier, celui-ci est imputable sans limitation sur le revenu global.  Si celui-ci est insuffisant, l’excédent éventuel est reportable sur les revenus des dix années suivantes.</w:t>
      </w:r>
    </w:p>
    <w:p w14:paraId="5BA80699" w14:textId="77777777" w:rsidR="00D710ED" w:rsidRPr="00F72B1D" w:rsidRDefault="00D710ED" w:rsidP="00D7464D">
      <w:pPr>
        <w:pStyle w:val="Paragraphe-CGPC"/>
      </w:pPr>
      <w:r w:rsidRPr="00F72B1D">
        <w:t>2) Si l’immeuble ne procure aucune recette imposable</w:t>
      </w:r>
    </w:p>
    <w:p w14:paraId="58120AB4" w14:textId="77777777" w:rsidR="00D710ED" w:rsidRPr="00F72B1D" w:rsidRDefault="00D710ED" w:rsidP="00D7464D">
      <w:pPr>
        <w:pStyle w:val="Paragraphe-CGPC"/>
      </w:pPr>
      <w:r w:rsidRPr="00F72B1D">
        <w:t>Le propriétaire peut imputer sur le revenu global :</w:t>
      </w:r>
    </w:p>
    <w:p w14:paraId="4731742E" w14:textId="77777777" w:rsidR="00D710ED" w:rsidRPr="00F72B1D" w:rsidRDefault="00D710ED" w:rsidP="00D7464D">
      <w:pPr>
        <w:pStyle w:val="Paragraphe-CGPC"/>
      </w:pPr>
      <w:r w:rsidRPr="00F72B1D">
        <w:lastRenderedPageBreak/>
        <w:t>– 50% des charges si le monument bénéficié d’un agrément ou s’il est fermé au public ;</w:t>
      </w:r>
    </w:p>
    <w:p w14:paraId="4F42EBEA" w14:textId="7493B4BC" w:rsidR="00D710ED" w:rsidRPr="00F72B1D" w:rsidRDefault="00D710ED" w:rsidP="00D7464D">
      <w:pPr>
        <w:pStyle w:val="Paragraphe-CGPC"/>
      </w:pPr>
      <w:r w:rsidRPr="00F72B1D">
        <w:t>– 100% des charges si le bien est classé ou inscrit à l’inventaire supplémentaire des monuments historiques et ouvert au public.(</w:t>
      </w:r>
      <w:r w:rsidR="00673CD7" w:rsidRPr="00673CD7">
        <w:t xml:space="preserve"> </w:t>
      </w:r>
      <w:r w:rsidR="00673CD7">
        <w:t xml:space="preserve">Sont considérés comme ouverts au public, les immeubles historiques que le public est admis à visiter au moins :– soit cinquante jours par an, dont vingt-cinq jours fériés, au cours des mois d’avril à septembre inclus ;– soit quarante jours pendant les mois de juillet, août et septembre. En application de l’article 17 quater de l’annexe IV au CGI, le propriétaire d’un monument historique classé ou inscrit est tenu de déclarer les conditions d’ouverture au public avant le 1er février de chaque année. La déclaration d’ouverture d’un monument historique (formulaire n° 2044 MH disponible sur impots.gouv.fr) doit être effectuée auprès du service des impôts des particuliers (SIP) dont relève la résidence principale du propriétaire). </w:t>
      </w:r>
    </w:p>
    <w:p w14:paraId="55615CBA" w14:textId="77777777" w:rsidR="00D710ED" w:rsidRPr="00F72B1D" w:rsidRDefault="00D710ED" w:rsidP="00D7464D">
      <w:pPr>
        <w:pStyle w:val="Paragraphe-CGPC"/>
      </w:pPr>
      <w:r w:rsidRPr="00F72B1D">
        <w:t>3) Si l’immeuble procure des recettes imposables et est occupé par son propriétaire</w:t>
      </w:r>
    </w:p>
    <w:p w14:paraId="132F3AEB" w14:textId="77777777" w:rsidR="00D710ED" w:rsidRPr="00F72B1D" w:rsidRDefault="00D710ED" w:rsidP="00D7464D">
      <w:pPr>
        <w:pStyle w:val="Paragraphe-CGPC"/>
      </w:pPr>
      <w:r w:rsidRPr="00F72B1D">
        <w:t>Dans ce cas, les recettes proviennent d’un droit de visite et/ou d’une location partielle.</w:t>
      </w:r>
    </w:p>
    <w:p w14:paraId="15F3F9B4" w14:textId="77777777" w:rsidR="00D710ED" w:rsidRPr="00F72B1D" w:rsidRDefault="00D710ED" w:rsidP="00D7464D">
      <w:pPr>
        <w:pStyle w:val="Paragraphe-CGPC"/>
      </w:pPr>
      <w:r w:rsidRPr="00F72B1D">
        <w:t>Les frais de visite et la fraction des charges liées à la partie louée sont déduits des recettes</w:t>
      </w:r>
    </w:p>
    <w:p w14:paraId="4BBF27EF" w14:textId="77777777" w:rsidR="00D710ED" w:rsidRPr="00F72B1D" w:rsidRDefault="00D710ED" w:rsidP="00D7464D">
      <w:pPr>
        <w:pStyle w:val="Paragraphe-CGPC"/>
      </w:pPr>
      <w:r w:rsidRPr="00F72B1D">
        <w:t>Les propriétaires peuvent aussi opter pour une déduction forfaitaire égale à 75% de l’ensemble des charges foncières affectant la totalité de l’immeuble.</w:t>
      </w:r>
    </w:p>
    <w:p w14:paraId="7F6BE8D7" w14:textId="77777777" w:rsidR="00D710ED" w:rsidRPr="00F72B1D" w:rsidRDefault="00D710ED" w:rsidP="00D7464D">
      <w:pPr>
        <w:pStyle w:val="Paragraphe-CGPC"/>
      </w:pPr>
      <w:r w:rsidRPr="00F72B1D">
        <w:t>Le coût des travaux subventionnés ou exécutés par le ministère de la Culture est imputable en totalité sur les recettes même si ces travaux portent en partie sur la partie occupée par le propriétaire.</w:t>
      </w:r>
    </w:p>
    <w:p w14:paraId="69D08B52" w14:textId="77777777" w:rsidR="00D710ED" w:rsidRPr="00F72B1D" w:rsidRDefault="00D710ED" w:rsidP="00D7464D">
      <w:pPr>
        <w:pStyle w:val="Paragraphe-CGPC"/>
      </w:pPr>
      <w:r w:rsidRPr="00F72B1D">
        <w:t>En cas d’apparition d’un déficit foncier celui-ci est imputable sur le revenu global du propriétaire. Et si celui-ci est insuffisant, l’excédent éventuel est reportable sur les revenus des dix années suivantes.</w:t>
      </w:r>
    </w:p>
    <w:p w14:paraId="007DB584" w14:textId="77777777" w:rsidR="00D710ED" w:rsidRPr="00F72B1D" w:rsidRDefault="00D710ED" w:rsidP="00D7464D">
      <w:pPr>
        <w:pStyle w:val="Paragraphe-CGPC"/>
      </w:pPr>
      <w:r w:rsidRPr="00F72B1D">
        <w:t>Les charges qui n’ont pas été déduites des recettes (25% du total dans le cas de l’option pour la déduction forfaitaire) sont imputables en totalité sur le revenu global du propriétaire. Mais leur excédent ne peut être reporté sur les années suivantes.</w:t>
      </w:r>
    </w:p>
    <w:p w14:paraId="71A92B91" w14:textId="77777777" w:rsidR="00D710ED" w:rsidRPr="00F72B1D" w:rsidRDefault="00D710ED" w:rsidP="00D7464D">
      <w:pPr>
        <w:pStyle w:val="Paragraphe-CGPC"/>
      </w:pPr>
      <w:r w:rsidRPr="00F72B1D">
        <w:t>Si l’immeuble est seulement agréé, l’imputation ne porte que sur la moitié des charges en question.</w:t>
      </w:r>
    </w:p>
    <w:p w14:paraId="01F956BD" w14:textId="77777777" w:rsidR="00D710ED" w:rsidRPr="00F72B1D" w:rsidRDefault="00D710ED" w:rsidP="00D7464D">
      <w:pPr>
        <w:pStyle w:val="Paragraphe-CGPC"/>
      </w:pPr>
      <w:r w:rsidRPr="00F72B1D">
        <w:t>Droits de succession ou donation </w:t>
      </w:r>
    </w:p>
    <w:p w14:paraId="55812F74" w14:textId="77777777" w:rsidR="00D710ED" w:rsidRPr="00F72B1D" w:rsidRDefault="00D710ED" w:rsidP="00D7464D">
      <w:pPr>
        <w:pStyle w:val="Paragraphe-CGPC"/>
      </w:pPr>
      <w:r w:rsidRPr="00F72B1D">
        <w:t>Les immeubles classés ou inscrits à l’inventaire supplémentaire sont en principe exonérés de droits de donation et de succession si le classement concerne l’essentiel de l’immeuble.</w:t>
      </w:r>
    </w:p>
    <w:p w14:paraId="58066815" w14:textId="77777777" w:rsidR="00D710ED" w:rsidRPr="00F72B1D" w:rsidRDefault="00D710ED" w:rsidP="00D7464D">
      <w:pPr>
        <w:pStyle w:val="Paragraphe-CGPC"/>
      </w:pPr>
      <w:r w:rsidRPr="00F72B1D">
        <w:lastRenderedPageBreak/>
        <w:t>Pour bénéficier de l’exonération, les bénéficiaires de la donation ou de la succession doivent signer avec les ministères de la Culture et du Budget une convention à durée indéterminée précisant les modalités d’entretien des biens concernés, les conditions d’accès au public, le maintien des meubles.</w:t>
      </w:r>
    </w:p>
    <w:p w14:paraId="40F3E89E" w14:textId="351A1DAB" w:rsidR="00D710ED" w:rsidRPr="00F72B1D" w:rsidRDefault="00D710ED" w:rsidP="00D7464D">
      <w:pPr>
        <w:pStyle w:val="Paragraphe-CGPC"/>
      </w:pPr>
      <w:r w:rsidRPr="00F72B1D">
        <w:t>Si l’une des conditions prévues par la convention n’est pas respectée, la transmission est soumise aux droits de donation ou succession sur la base de la valeur des biens au jour de la rupture de la convention n’est plus respectée (ou celle déclarée lors de la succession ou donation si elle est supérieure).</w:t>
      </w:r>
    </w:p>
    <w:p w14:paraId="682FCEDC" w14:textId="77777777" w:rsidR="00D710ED" w:rsidRPr="00F72B1D" w:rsidRDefault="00D710ED" w:rsidP="00D7464D">
      <w:pPr>
        <w:pStyle w:val="Paragraphe-CGPC"/>
      </w:pPr>
      <w:r w:rsidRPr="00F72B1D">
        <w:t>La vente, même partielle, des meubles ou immeubles est assimilée à une remise en cause de la convention et entraîne la taxation de la transmission.</w:t>
      </w:r>
    </w:p>
    <w:p w14:paraId="0D1FC97B" w14:textId="77777777" w:rsidR="00D710ED" w:rsidRPr="00F72B1D" w:rsidRDefault="00D710ED" w:rsidP="00D7464D">
      <w:pPr>
        <w:pStyle w:val="Paragraphe-CGPC"/>
      </w:pPr>
      <w:r w:rsidRPr="00F72B1D">
        <w:t>Si le bénéficiaire de la donation ou succession exonérée donne à son tour l’immeuble, l’exonération est remise en cause. Sauf si les bénéficiaires de cette seconde donation adhèrent eux-aussi à la convention. Ils bénéficient alors, eux-aussi, d’une seconde exonération.</w:t>
      </w:r>
    </w:p>
    <w:p w14:paraId="17813B51" w14:textId="6A59FFE4" w:rsidR="00D710ED" w:rsidRPr="00F72B1D" w:rsidRDefault="00D710ED" w:rsidP="00A831FE">
      <w:pPr>
        <w:pStyle w:val="Titre2"/>
      </w:pPr>
      <w:bookmarkStart w:id="32" w:name="_Toc207194634"/>
      <w:r w:rsidRPr="00F72B1D">
        <w:t>Le dispositif Denormandie</w:t>
      </w:r>
      <w:bookmarkEnd w:id="32"/>
      <w:r w:rsidRPr="00F72B1D">
        <w:t> </w:t>
      </w:r>
    </w:p>
    <w:p w14:paraId="53CD5EC7" w14:textId="787119F5" w:rsidR="00D710ED" w:rsidRDefault="00D710ED" w:rsidP="00D7464D">
      <w:pPr>
        <w:pStyle w:val="Paragraphe-CGPC"/>
      </w:pPr>
      <w:r>
        <w:t>Le dispositif</w:t>
      </w:r>
      <w:r w:rsidR="004633F0">
        <w:t xml:space="preserve"> d</w:t>
      </w:r>
      <w:r>
        <w:t>’incitation fiscale dit “Denormandie” vise les opérations réalisées entre le 1er janvier 2019 et le 31 décembre 202</w:t>
      </w:r>
      <w:r w:rsidR="00055DE3">
        <w:t>7</w:t>
      </w:r>
      <w:r>
        <w:t xml:space="preserve"> et a pour objectif d’inciter les investisseurs à acheter et améliorer des logements anciens dans certaines villes (en déclin démographique, en cas de dégradation du parc de logements anciens ou de fuite des activités commerciales en périphérie…). Il s’agit d’une extension du dispositif Pinel déjà en place.</w:t>
      </w:r>
    </w:p>
    <w:p w14:paraId="08B9D5A8" w14:textId="77777777" w:rsidR="00D710ED" w:rsidRDefault="00D710ED" w:rsidP="00D7464D">
      <w:pPr>
        <w:pStyle w:val="Paragraphe-CGPC"/>
      </w:pPr>
      <w:r>
        <w:t>Pour pouvoir bénéficier du dispositif, l’investisseur doit :</w:t>
      </w:r>
    </w:p>
    <w:p w14:paraId="5C464DF2" w14:textId="77777777" w:rsidR="00D710ED" w:rsidRDefault="00D710ED" w:rsidP="00D7464D">
      <w:pPr>
        <w:pStyle w:val="Paragraphe-CGPC"/>
      </w:pPr>
      <w:r>
        <w:t>Acheter un logement ou un local à transformer en logement (bureaux, hangar…), dans les territoires où les besoins sont identifiés, notamment les villes qui ont signé des conventions dites “Cœur de ville” ou dans les communes qui mettent en place une Opération de revitalisation de leur territoire (ORT) ;</w:t>
      </w:r>
    </w:p>
    <w:p w14:paraId="1029146F" w14:textId="77777777" w:rsidR="00D710ED" w:rsidRDefault="00D710ED" w:rsidP="00D7464D">
      <w:pPr>
        <w:pStyle w:val="Paragraphe-CGPC"/>
      </w:pPr>
      <w:r>
        <w:t>Effectuer des travaux qui doivent représenter 25 % du coût total de l’opération (travaux + prix d’acquisition + honoraires de notaire + commissions versées aux intermédiaires + droits d’enregistrement + taxe de publicité foncière) ;</w:t>
      </w:r>
    </w:p>
    <w:p w14:paraId="13019FCC" w14:textId="77777777" w:rsidR="00D710ED" w:rsidRDefault="00D710ED" w:rsidP="00D7464D">
      <w:pPr>
        <w:pStyle w:val="Paragraphe-CGPC"/>
      </w:pPr>
      <w:r>
        <w:t>[Ces travaux doivent améliorer la performance énergétique du logement (obtention a minima de l’étiquette énergétique E après travaux). Ces travaux peuvent avoir été réalisés avant l’achat par le vendeur]</w:t>
      </w:r>
    </w:p>
    <w:p w14:paraId="405C14CC" w14:textId="77777777" w:rsidR="00D710ED" w:rsidRDefault="00D710ED" w:rsidP="00D7464D">
      <w:pPr>
        <w:pStyle w:val="Paragraphe-CGPC"/>
      </w:pPr>
      <w:r>
        <w:t>Mettre le bien en location pendant 6, 9 ou 12 ans à un loyer plafonné.</w:t>
      </w:r>
    </w:p>
    <w:p w14:paraId="2796BF16" w14:textId="77777777" w:rsidR="00D710ED" w:rsidRDefault="00D710ED" w:rsidP="00D7464D">
      <w:pPr>
        <w:pStyle w:val="Paragraphe-CGPC"/>
      </w:pPr>
      <w:r>
        <w:lastRenderedPageBreak/>
        <w:t>Le bailleur bénéficie d’une réduction d’impôt calculée sur la totalité de l’opération.</w:t>
      </w:r>
    </w:p>
    <w:p w14:paraId="6D329CF7" w14:textId="4985C4F6" w:rsidR="00055DE3" w:rsidRPr="00055DE3" w:rsidRDefault="00055DE3" w:rsidP="00D7464D">
      <w:pPr>
        <w:pStyle w:val="Paragraphe-CGPC"/>
        <w:rPr>
          <w:lang w:eastAsia="en-GB"/>
        </w:rPr>
      </w:pPr>
      <w:r w:rsidRPr="00055DE3">
        <w:rPr>
          <w:shd w:val="clear" w:color="auto" w:fill="FFFFFF"/>
          <w:lang w:eastAsia="en-GB"/>
        </w:rPr>
        <w:t>Le taux de la réduction d'impôt est de 12 % ou 18 % selon que l'engagement initial de location est pris pour une durée de 6 ou 9 ans. En cas de prorogation de l'engagemen</w:t>
      </w:r>
      <w:r>
        <w:rPr>
          <w:shd w:val="clear" w:color="auto" w:fill="FFFFFF"/>
          <w:lang w:eastAsia="en-GB"/>
        </w:rPr>
        <w:t>t</w:t>
      </w:r>
      <w:r w:rsidRPr="00055DE3">
        <w:rPr>
          <w:shd w:val="clear" w:color="auto" w:fill="FFFFFF"/>
          <w:lang w:eastAsia="en-GB"/>
        </w:rPr>
        <w:t>, le taux varie en fonction de la durée initiale de l'engagement :</w:t>
      </w:r>
    </w:p>
    <w:p w14:paraId="49BCA91D" w14:textId="77777777" w:rsidR="00055DE3" w:rsidRPr="00055DE3" w:rsidRDefault="00055DE3" w:rsidP="00D7464D">
      <w:pPr>
        <w:pStyle w:val="Paragraphe-CGPC"/>
        <w:rPr>
          <w:lang w:eastAsia="en-GB"/>
        </w:rPr>
      </w:pPr>
      <w:r w:rsidRPr="00055DE3">
        <w:rPr>
          <w:lang w:eastAsia="en-GB"/>
        </w:rPr>
        <w:t>-  6 % pour la première période triennale et 3 % pour la seconde période triennale si l'engagement initial est de 6 ans ;</w:t>
      </w:r>
    </w:p>
    <w:p w14:paraId="65B0A143" w14:textId="77777777" w:rsidR="00055DE3" w:rsidRPr="00055DE3" w:rsidRDefault="00055DE3" w:rsidP="00D7464D">
      <w:pPr>
        <w:pStyle w:val="Paragraphe-CGPC"/>
        <w:rPr>
          <w:lang w:eastAsia="en-GB"/>
        </w:rPr>
      </w:pPr>
      <w:r w:rsidRPr="00055DE3">
        <w:rPr>
          <w:lang w:eastAsia="en-GB"/>
        </w:rPr>
        <w:t>-  3 % pour la période triennale si l'engagement initial est de 9 ans.</w:t>
      </w:r>
    </w:p>
    <w:p w14:paraId="6683DAB8" w14:textId="77777777" w:rsidR="00055DE3" w:rsidRDefault="00055DE3" w:rsidP="00D7464D">
      <w:pPr>
        <w:pStyle w:val="Paragraphe-CGPC"/>
      </w:pPr>
    </w:p>
    <w:p w14:paraId="5914CC4E" w14:textId="77777777" w:rsidR="00D710ED" w:rsidRDefault="00D710ED" w:rsidP="00D7464D">
      <w:pPr>
        <w:pStyle w:val="Paragraphe-CGPC"/>
      </w:pPr>
      <w:r>
        <w:t>Le plafond des dépenses pris en charge est de 300 000 € ou 5 500 par m2.</w:t>
      </w:r>
    </w:p>
    <w:p w14:paraId="0DEEA9A0" w14:textId="77777777" w:rsidR="00D710ED" w:rsidRDefault="00D710ED" w:rsidP="00D7464D">
      <w:pPr>
        <w:pStyle w:val="Paragraphe-CGPC"/>
      </w:pPr>
      <w:r>
        <w:t>NB Si le bien est acheté 450 000 € (prix d’acquisition + honoraires de notaire + commissions versées aux intermédiaires + droits d’enregistrement + taxe de publicité foncière) et que 150 000 € de travaux sont effectués, la déduction s’appliquera sur 300 000 € et non 600 000 €.</w:t>
      </w:r>
    </w:p>
    <w:p w14:paraId="17EE1813" w14:textId="77777777" w:rsidR="00D710ED" w:rsidRDefault="00D710ED" w:rsidP="00D7464D">
      <w:pPr>
        <w:pStyle w:val="Paragraphe-CGPC"/>
      </w:pPr>
      <w:r>
        <w:t>Les travaux doivent :</w:t>
      </w:r>
    </w:p>
    <w:p w14:paraId="241E462E" w14:textId="77777777" w:rsidR="00D710ED" w:rsidRDefault="00D710ED" w:rsidP="00D7464D">
      <w:pPr>
        <w:pStyle w:val="Paragraphe-CGPC"/>
      </w:pPr>
      <w:r>
        <w:t>Soit améliorer la performance énergétique d’au moins 30 % (20 % en habitat collectif) ;</w:t>
      </w:r>
    </w:p>
    <w:p w14:paraId="38770BCF" w14:textId="77777777" w:rsidR="00D710ED" w:rsidRDefault="00D710ED" w:rsidP="00D7464D">
      <w:pPr>
        <w:pStyle w:val="Paragraphe-CGPC"/>
      </w:pPr>
      <w:r>
        <w:t>Soit correspondre à deux des cinq types de travaux suivants : la rénovation des murs, des toitures, des fenêtres, le changement de chaudière, le changement de production d’eau chaude.</w:t>
      </w:r>
    </w:p>
    <w:p w14:paraId="4A0CC769" w14:textId="77777777" w:rsidR="00D710ED" w:rsidRDefault="00D710ED" w:rsidP="00D7464D">
      <w:pPr>
        <w:pStyle w:val="Paragraphe-CGPC"/>
      </w:pPr>
      <w:r>
        <w:t>Le propriétaire bailleur s’engage à louer le logement pendant au moins six ans.</w:t>
      </w:r>
    </w:p>
    <w:p w14:paraId="674ADE5C" w14:textId="77777777" w:rsidR="00D710ED" w:rsidRDefault="00D710ED" w:rsidP="00D7464D">
      <w:pPr>
        <w:pStyle w:val="Paragraphe-CGPC"/>
      </w:pPr>
      <w:r>
        <w:t>La location est soumise au respect de plafonds de loyers et de ressources.</w:t>
      </w:r>
    </w:p>
    <w:p w14:paraId="3E4159BF" w14:textId="3B0AE6AA" w:rsidR="00D710ED" w:rsidRPr="00F72B1D" w:rsidRDefault="00D710ED" w:rsidP="00A831FE">
      <w:pPr>
        <w:pStyle w:val="Titre2"/>
      </w:pPr>
      <w:bookmarkStart w:id="33" w:name="_Toc207194635"/>
      <w:r w:rsidRPr="00F72B1D">
        <w:t>Le dispositif Cosse : louer abordable</w:t>
      </w:r>
      <w:bookmarkEnd w:id="33"/>
    </w:p>
    <w:p w14:paraId="6C1CC48F" w14:textId="77777777" w:rsidR="00D710ED" w:rsidRPr="004F2084" w:rsidRDefault="00D710ED" w:rsidP="00D7464D">
      <w:pPr>
        <w:pStyle w:val="Paragraphe-CGPC"/>
      </w:pPr>
      <w:r w:rsidRPr="004F2084">
        <w:t>Dispositif “Louer abordable” : à partir du 1er mars 2022</w:t>
      </w:r>
    </w:p>
    <w:p w14:paraId="26AD896D" w14:textId="02051C3D" w:rsidR="00D710ED" w:rsidRPr="004F2084" w:rsidRDefault="00D710ED" w:rsidP="00D7464D">
      <w:pPr>
        <w:pStyle w:val="Paragraphe-CGPC"/>
      </w:pPr>
      <w:r w:rsidRPr="004F2084">
        <w:t>L’</w:t>
      </w:r>
      <w:hyperlink r:id="rId25" w:history="1">
        <w:r w:rsidRPr="004F2084">
          <w:rPr>
            <w:rStyle w:val="Lienhypertexte"/>
          </w:rPr>
          <w:t>article 67 de la loi n° 2021-1900 du 30 décembre 2021 de finances pour 2022 </w:t>
        </w:r>
      </w:hyperlink>
      <w:r w:rsidR="0009532F">
        <w:t xml:space="preserve"> a </w:t>
      </w:r>
      <w:r w:rsidRPr="004F2084">
        <w:t>transform</w:t>
      </w:r>
      <w:r w:rsidR="0009532F">
        <w:t>é</w:t>
      </w:r>
      <w:r w:rsidRPr="004F2084">
        <w:t>, pour les conventions signées à partir du 1er mars 2022, le dispositif Cosse “Louer abordable” en réduction d’impôt, appelée Loc’Avantages, et l</w:t>
      </w:r>
      <w:r w:rsidR="0009532F">
        <w:t>’a</w:t>
      </w:r>
      <w:r w:rsidRPr="004F2084">
        <w:t xml:space="preserve"> prorog</w:t>
      </w:r>
      <w:r w:rsidR="0009532F">
        <w:t>é</w:t>
      </w:r>
      <w:r w:rsidRPr="004F2084">
        <w:t xml:space="preserve"> sous cette nouvelle forme jusqu’au 31 décembre 2024.</w:t>
      </w:r>
    </w:p>
    <w:p w14:paraId="6A7DEE97" w14:textId="77777777" w:rsidR="00D710ED" w:rsidRPr="004F2084" w:rsidRDefault="00D710ED" w:rsidP="00D7464D">
      <w:pPr>
        <w:pStyle w:val="Paragraphe-CGPC"/>
      </w:pPr>
      <w:r w:rsidRPr="004F2084">
        <w:t>Le logement devra être donné en location dans le cadre d’une convention Anah, en respectant des plafonds de loyer et de ressources pour le locataire</w:t>
      </w:r>
    </w:p>
    <w:p w14:paraId="7C370872" w14:textId="77777777" w:rsidR="00D710ED" w:rsidRPr="004F2084" w:rsidRDefault="00D710ED" w:rsidP="00D7464D">
      <w:pPr>
        <w:pStyle w:val="Paragraphe-CGPC"/>
      </w:pPr>
      <w:r w:rsidRPr="004F2084">
        <w:lastRenderedPageBreak/>
        <w:t>Le loyer et les ressources du locataire seront appréciés à la date de conclusion du bail et ne devront pas excéder des plafonds fixés par décret (à paraître), en fonction de la localisation du logement et de son affectation à la location intermédiaire, sociale ou très sociale</w:t>
      </w:r>
    </w:p>
    <w:p w14:paraId="664BE556" w14:textId="77777777" w:rsidR="00D710ED" w:rsidRPr="004F2084" w:rsidRDefault="00D710ED" w:rsidP="00D7464D">
      <w:pPr>
        <w:pStyle w:val="Paragraphe-CGPC"/>
      </w:pPr>
      <w:r w:rsidRPr="004F2084">
        <w:t>La fixation des plafonds de loyer devrait être effectuée sur la base d’une cartographie réalisée à l’échelle communale.</w:t>
      </w:r>
    </w:p>
    <w:p w14:paraId="08AA120D" w14:textId="77EAD8DC" w:rsidR="00D710ED" w:rsidRPr="004F2084" w:rsidRDefault="00D710ED" w:rsidP="00D7464D">
      <w:pPr>
        <w:pStyle w:val="Paragraphe-CGPC"/>
      </w:pPr>
      <w:r w:rsidRPr="004F2084">
        <w:t>Par ailleurs, les taux de réduction d’impôt sur les loyers perçus seront uniformes sur l’ensemble du territoire :</w:t>
      </w:r>
    </w:p>
    <w:p w14:paraId="7F832F39" w14:textId="77777777" w:rsidR="00D710ED" w:rsidRPr="004F2084" w:rsidRDefault="00D710ED" w:rsidP="00D7464D">
      <w:pPr>
        <w:pStyle w:val="Paragraphe-CGPC"/>
      </w:pPr>
      <w:r w:rsidRPr="004F2084">
        <w:t>15 % pour le logement affecté à la location intermédiaire ;</w:t>
      </w:r>
    </w:p>
    <w:p w14:paraId="66B787E1" w14:textId="77777777" w:rsidR="00D710ED" w:rsidRPr="004F2084" w:rsidRDefault="00D710ED" w:rsidP="00D7464D">
      <w:pPr>
        <w:pStyle w:val="Paragraphe-CGPC"/>
      </w:pPr>
      <w:r w:rsidRPr="004F2084">
        <w:t>35 % pour le logement affecté à la location sociale.</w:t>
      </w:r>
    </w:p>
    <w:p w14:paraId="29E4AB6A" w14:textId="214F3D2E" w:rsidR="00D710ED" w:rsidRPr="004F2084" w:rsidRDefault="00D710ED" w:rsidP="00D7464D">
      <w:pPr>
        <w:pStyle w:val="Paragraphe-CGPC"/>
      </w:pPr>
      <w:r w:rsidRPr="004F2084">
        <w:t>En cas d’intermédiation locative, les taux de réduction d’impôt sont portés à :</w:t>
      </w:r>
    </w:p>
    <w:p w14:paraId="4490D1D5" w14:textId="77777777" w:rsidR="00D710ED" w:rsidRPr="004F2084" w:rsidRDefault="00D710ED" w:rsidP="00D7464D">
      <w:pPr>
        <w:pStyle w:val="Paragraphe-CGPC"/>
      </w:pPr>
      <w:r w:rsidRPr="004F2084">
        <w:t>20 % des revenus bruts des logements affectés à la location intermédiaire ;</w:t>
      </w:r>
    </w:p>
    <w:p w14:paraId="02CEA76F" w14:textId="77777777" w:rsidR="00D710ED" w:rsidRPr="004F2084" w:rsidRDefault="00D710ED" w:rsidP="00D7464D">
      <w:pPr>
        <w:pStyle w:val="Paragraphe-CGPC"/>
      </w:pPr>
      <w:r w:rsidRPr="004F2084">
        <w:t>40 % des revenus bruts des logements affectés à la location sociale ;</w:t>
      </w:r>
    </w:p>
    <w:p w14:paraId="4CF9F2A3" w14:textId="77777777" w:rsidR="00D710ED" w:rsidRPr="004F2084" w:rsidRDefault="00D710ED" w:rsidP="00D7464D">
      <w:pPr>
        <w:pStyle w:val="Paragraphe-CGPC"/>
      </w:pPr>
      <w:r w:rsidRPr="004F2084">
        <w:t>65 % des revenus bruts des logements affectés à la location très sociale.</w:t>
      </w:r>
    </w:p>
    <w:p w14:paraId="5613C11D" w14:textId="683118DA" w:rsidR="00CB575E" w:rsidRPr="004F2084" w:rsidRDefault="00CB575E" w:rsidP="00D7464D">
      <w:pPr>
        <w:pStyle w:val="Paragraphe-CGPC"/>
      </w:pPr>
    </w:p>
    <w:sectPr w:rsidR="00CB575E" w:rsidRPr="004F2084" w:rsidSect="00CE39EE">
      <w:headerReference w:type="default" r:id="rId26"/>
      <w:footerReference w:type="default" r:id="rId27"/>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BCF9B0" w14:textId="77777777" w:rsidR="005B2903" w:rsidRDefault="005B2903" w:rsidP="002020F9">
      <w:pPr>
        <w:spacing w:after="0" w:line="240" w:lineRule="auto"/>
      </w:pPr>
      <w:r>
        <w:separator/>
      </w:r>
    </w:p>
  </w:endnote>
  <w:endnote w:type="continuationSeparator" w:id="0">
    <w:p w14:paraId="42000CD5" w14:textId="77777777" w:rsidR="005B2903" w:rsidRDefault="005B2903"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BD6495A-61B5-439D-845C-F2AE4CB3705C}"/>
    <w:embedBold r:id="rId2" w:fontKey="{DEAFC8CC-1BF9-4243-B431-4B4DBE277784}"/>
    <w:embedItalic r:id="rId3" w:fontKey="{7E02B9D9-46B4-4FBD-8775-29BB1D7F3F61}"/>
    <w:embedBoldItalic r:id="rId4" w:fontKey="{F42A667C-2D25-471B-A8D4-B4D106EC5119}"/>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036CB0C7-AB19-4A29-9662-27444D41F425}"/>
    <w:embedBold r:id="rId6" w:fontKey="{BDC6F4AB-A42A-47DF-B567-5F29FDA505AB}"/>
    <w:embedItalic r:id="rId7" w:fontKey="{782BDA5D-D8D1-422F-8EB3-CD6DA037E0EB}"/>
    <w:embedBoldItalic r:id="rId8" w:fontKey="{9B420407-9E48-426B-A491-D4C0F277579D}"/>
  </w:font>
  <w:font w:name="Calibri Light">
    <w:panose1 w:val="020F0302020204030204"/>
    <w:charset w:val="00"/>
    <w:family w:val="swiss"/>
    <w:pitch w:val="variable"/>
    <w:sig w:usb0="E4002EFF" w:usb1="C200247B" w:usb2="00000009" w:usb3="00000000" w:csb0="000001FF" w:csb1="00000000"/>
    <w:embedRegular r:id="rId9" w:fontKey="{A464B889-0BA6-4166-BEFA-75D1AC827F5B}"/>
  </w:font>
  <w:font w:name="Verdana">
    <w:panose1 w:val="020B0604030504040204"/>
    <w:charset w:val="00"/>
    <w:family w:val="swiss"/>
    <w:pitch w:val="variable"/>
    <w:sig w:usb0="A00006FF" w:usb1="4000205B" w:usb2="00000010" w:usb3="00000000" w:csb0="0000019F" w:csb1="00000000"/>
    <w:embedRegular r:id="rId10" w:fontKey="{E7819AC3-45A6-44C7-A461-FC1B383802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6061770"/>
      <w:docPartObj>
        <w:docPartGallery w:val="Page Numbers (Bottom of Page)"/>
        <w:docPartUnique/>
      </w:docPartObj>
    </w:sdtPr>
    <w:sdtContent>
      <w:p w14:paraId="437DB56F" w14:textId="47CA40D9" w:rsidR="00F73E7D" w:rsidRDefault="00F73E7D">
        <w:pPr>
          <w:pStyle w:val="Pieddepage"/>
        </w:pPr>
        <w:r>
          <w:fldChar w:fldCharType="begin"/>
        </w:r>
        <w:r>
          <w:instrText>PAGE   \* MERGEFORMAT</w:instrText>
        </w:r>
        <w:r>
          <w:fldChar w:fldCharType="separate"/>
        </w:r>
        <w:r>
          <w:t>2</w:t>
        </w:r>
        <w:r>
          <w:fldChar w:fldCharType="end"/>
        </w:r>
        <w:r>
          <w:t xml:space="preserve"> </w:t>
        </w:r>
        <w:r w:rsidRPr="00FC5DB0">
          <w:rPr>
            <w:sz w:val="22"/>
          </w:rPr>
          <w:t>Copyright© CGPC Développement®</w:t>
        </w:r>
      </w:p>
    </w:sdtContent>
  </w:sdt>
  <w:p w14:paraId="00BCCACC" w14:textId="1F5F20BC" w:rsidR="00AA1DF4" w:rsidRPr="00AA1DF4" w:rsidRDefault="00AA1DF4" w:rsidP="00F73E7D">
    <w:pPr>
      <w:pStyle w:val="Pieddepage"/>
      <w:jc w:val="left"/>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3A1C39" w14:textId="77777777" w:rsidR="005B2903" w:rsidRDefault="005B2903" w:rsidP="002020F9">
      <w:pPr>
        <w:spacing w:after="0" w:line="240" w:lineRule="auto"/>
      </w:pPr>
      <w:r>
        <w:separator/>
      </w:r>
    </w:p>
  </w:footnote>
  <w:footnote w:type="continuationSeparator" w:id="0">
    <w:p w14:paraId="7E1FBE27" w14:textId="77777777" w:rsidR="005B2903" w:rsidRDefault="005B2903"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7B2ED" w14:textId="54650D0F" w:rsidR="00AA1DF4" w:rsidRDefault="003427BE">
    <w:pPr>
      <w:pStyle w:val="En-tte"/>
    </w:pPr>
    <w:r>
      <w:rPr>
        <w:noProof/>
      </w:rPr>
      <mc:AlternateContent>
        <mc:Choice Requires="wps">
          <w:drawing>
            <wp:anchor distT="0" distB="0" distL="118745" distR="118745" simplePos="0" relativeHeight="251658240" behindDoc="1" locked="0" layoutInCell="1" allowOverlap="0" wp14:anchorId="43B2D164" wp14:editId="3E17B41B">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35D9EF43" w14:textId="3F9DBF6C" w:rsidR="003427BE" w:rsidRDefault="00041B78">
                              <w:pPr>
                                <w:pStyle w:val="En-tte"/>
                                <w:jc w:val="center"/>
                                <w:rPr>
                                  <w:caps/>
                                  <w:color w:val="FFFFFF" w:themeColor="background1"/>
                                </w:rPr>
                              </w:pPr>
                              <w:r>
                                <w:rPr>
                                  <w:caps/>
                                  <w:color w:val="FFFFFF" w:themeColor="background1"/>
                                </w:rPr>
                                <w:t>Chapitre 2 : la fiscalité de l’investissement immobilier locatif</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43B2D164" id="Rectangle 200" o:spid="_x0000_s1026" style="position:absolute;left:0;text-align:left;margin-left:0;margin-top:0;width:468.5pt;height:21.3pt;z-index:-251658240;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35D9EF43" w14:textId="3F9DBF6C" w:rsidR="003427BE" w:rsidRDefault="00041B78">
                        <w:pPr>
                          <w:pStyle w:val="En-tte"/>
                          <w:jc w:val="center"/>
                          <w:rPr>
                            <w:caps/>
                            <w:color w:val="FFFFFF" w:themeColor="background1"/>
                          </w:rPr>
                        </w:pPr>
                        <w:r>
                          <w:rPr>
                            <w:caps/>
                            <w:color w:val="FFFFFF" w:themeColor="background1"/>
                          </w:rPr>
                          <w:t>Chapitre 2 : la fiscalité de l’investissement immobilier locatif</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0B27A6"/>
    <w:multiLevelType w:val="hybridMultilevel"/>
    <w:tmpl w:val="2B64215E"/>
    <w:lvl w:ilvl="0" w:tplc="9A5A1088">
      <w:start w:val="1"/>
      <w:numFmt w:val="decimal"/>
      <w:pStyle w:val="Titre2"/>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7B24B8"/>
    <w:multiLevelType w:val="hybridMultilevel"/>
    <w:tmpl w:val="423A36D6"/>
    <w:lvl w:ilvl="0" w:tplc="3A12385A">
      <w:start w:val="1"/>
      <w:numFmt w:val="low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3" w15:restartNumberingAfterBreak="0">
    <w:nsid w:val="56106870"/>
    <w:multiLevelType w:val="hybridMultilevel"/>
    <w:tmpl w:val="2B6E938E"/>
    <w:lvl w:ilvl="0" w:tplc="D4762CC0">
      <w:start w:val="1"/>
      <w:numFmt w:val="lowerRoman"/>
      <w:pStyle w:val="Titre5"/>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7D7C52F3"/>
    <w:multiLevelType w:val="hybridMultilevel"/>
    <w:tmpl w:val="E5F820A8"/>
    <w:lvl w:ilvl="0" w:tplc="4FDAC8DE">
      <w:start w:val="1"/>
      <w:numFmt w:val="upperLetter"/>
      <w:pStyle w:val="Titre3"/>
      <w:lvlText w:val="%1."/>
      <w:lvlJc w:val="left"/>
      <w:pPr>
        <w:ind w:left="1742" w:hanging="360"/>
      </w:pPr>
    </w:lvl>
    <w:lvl w:ilvl="1" w:tplc="04090019" w:tentative="1">
      <w:start w:val="1"/>
      <w:numFmt w:val="lowerLetter"/>
      <w:lvlText w:val="%2."/>
      <w:lvlJc w:val="left"/>
      <w:pPr>
        <w:ind w:left="2462" w:hanging="360"/>
      </w:pPr>
    </w:lvl>
    <w:lvl w:ilvl="2" w:tplc="0409001B" w:tentative="1">
      <w:start w:val="1"/>
      <w:numFmt w:val="lowerRoman"/>
      <w:lvlText w:val="%3."/>
      <w:lvlJc w:val="right"/>
      <w:pPr>
        <w:ind w:left="3182" w:hanging="180"/>
      </w:pPr>
    </w:lvl>
    <w:lvl w:ilvl="3" w:tplc="0409000F" w:tentative="1">
      <w:start w:val="1"/>
      <w:numFmt w:val="decimal"/>
      <w:lvlText w:val="%4."/>
      <w:lvlJc w:val="left"/>
      <w:pPr>
        <w:ind w:left="3902" w:hanging="360"/>
      </w:pPr>
    </w:lvl>
    <w:lvl w:ilvl="4" w:tplc="04090019" w:tentative="1">
      <w:start w:val="1"/>
      <w:numFmt w:val="lowerLetter"/>
      <w:lvlText w:val="%5."/>
      <w:lvlJc w:val="left"/>
      <w:pPr>
        <w:ind w:left="4622" w:hanging="360"/>
      </w:pPr>
    </w:lvl>
    <w:lvl w:ilvl="5" w:tplc="0409001B" w:tentative="1">
      <w:start w:val="1"/>
      <w:numFmt w:val="lowerRoman"/>
      <w:lvlText w:val="%6."/>
      <w:lvlJc w:val="right"/>
      <w:pPr>
        <w:ind w:left="5342" w:hanging="180"/>
      </w:pPr>
    </w:lvl>
    <w:lvl w:ilvl="6" w:tplc="0409000F" w:tentative="1">
      <w:start w:val="1"/>
      <w:numFmt w:val="decimal"/>
      <w:lvlText w:val="%7."/>
      <w:lvlJc w:val="left"/>
      <w:pPr>
        <w:ind w:left="6062" w:hanging="360"/>
      </w:pPr>
    </w:lvl>
    <w:lvl w:ilvl="7" w:tplc="04090019" w:tentative="1">
      <w:start w:val="1"/>
      <w:numFmt w:val="lowerLetter"/>
      <w:lvlText w:val="%8."/>
      <w:lvlJc w:val="left"/>
      <w:pPr>
        <w:ind w:left="6782" w:hanging="360"/>
      </w:pPr>
    </w:lvl>
    <w:lvl w:ilvl="8" w:tplc="0409001B" w:tentative="1">
      <w:start w:val="1"/>
      <w:numFmt w:val="lowerRoman"/>
      <w:lvlText w:val="%9."/>
      <w:lvlJc w:val="right"/>
      <w:pPr>
        <w:ind w:left="7502" w:hanging="180"/>
      </w:pPr>
    </w:lvl>
  </w:abstractNum>
  <w:num w:numId="1" w16cid:durableId="1427118286">
    <w:abstractNumId w:val="2"/>
  </w:num>
  <w:num w:numId="2" w16cid:durableId="1906524701">
    <w:abstractNumId w:val="1"/>
  </w:num>
  <w:num w:numId="3" w16cid:durableId="371228501">
    <w:abstractNumId w:val="0"/>
  </w:num>
  <w:num w:numId="4" w16cid:durableId="468399610">
    <w:abstractNumId w:val="4"/>
  </w:num>
  <w:num w:numId="5" w16cid:durableId="85078875">
    <w:abstractNumId w:val="3"/>
  </w:num>
  <w:num w:numId="6" w16cid:durableId="218832181">
    <w:abstractNumId w:val="4"/>
    <w:lvlOverride w:ilvl="0">
      <w:startOverride w:val="1"/>
    </w:lvlOverride>
  </w:num>
  <w:num w:numId="7" w16cid:durableId="1869491834">
    <w:abstractNumId w:val="4"/>
    <w:lvlOverride w:ilvl="0">
      <w:startOverride w:val="1"/>
    </w:lvlOverride>
  </w:num>
  <w:num w:numId="8" w16cid:durableId="1952084293">
    <w:abstractNumId w:val="4"/>
    <w:lvlOverride w:ilvl="0">
      <w:startOverride w:val="1"/>
    </w:lvlOverride>
  </w:num>
  <w:num w:numId="9" w16cid:durableId="891231825">
    <w:abstractNumId w:val="4"/>
    <w:lvlOverride w:ilvl="0">
      <w:startOverride w:val="1"/>
    </w:lvlOverride>
  </w:num>
  <w:num w:numId="10" w16cid:durableId="1134175943">
    <w:abstractNumId w:val="0"/>
    <w:lvlOverride w:ilvl="0">
      <w:startOverride w:val="1"/>
    </w:lvlOverride>
  </w:num>
  <w:num w:numId="11" w16cid:durableId="1335493036">
    <w:abstractNumId w:val="0"/>
    <w:lvlOverride w:ilvl="0">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1"/>
  <w:embedTrueTypeFonts/>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036A4"/>
    <w:rsid w:val="0001567E"/>
    <w:rsid w:val="000321DA"/>
    <w:rsid w:val="0003435E"/>
    <w:rsid w:val="00041B78"/>
    <w:rsid w:val="00055DE3"/>
    <w:rsid w:val="00074CCE"/>
    <w:rsid w:val="00075E24"/>
    <w:rsid w:val="00094683"/>
    <w:rsid w:val="0009532F"/>
    <w:rsid w:val="000C2B3F"/>
    <w:rsid w:val="000C3123"/>
    <w:rsid w:val="000C5F54"/>
    <w:rsid w:val="001238EF"/>
    <w:rsid w:val="00131AE6"/>
    <w:rsid w:val="001525E5"/>
    <w:rsid w:val="001543F0"/>
    <w:rsid w:val="00170FB1"/>
    <w:rsid w:val="001D53D7"/>
    <w:rsid w:val="001E58CB"/>
    <w:rsid w:val="001F3EB8"/>
    <w:rsid w:val="001F5988"/>
    <w:rsid w:val="00200B59"/>
    <w:rsid w:val="002020F9"/>
    <w:rsid w:val="00205321"/>
    <w:rsid w:val="00231B64"/>
    <w:rsid w:val="00233D58"/>
    <w:rsid w:val="00281D43"/>
    <w:rsid w:val="002863E1"/>
    <w:rsid w:val="002B40D2"/>
    <w:rsid w:val="002B65BE"/>
    <w:rsid w:val="002B7F13"/>
    <w:rsid w:val="002C117F"/>
    <w:rsid w:val="002C59DF"/>
    <w:rsid w:val="002E7C98"/>
    <w:rsid w:val="0030508E"/>
    <w:rsid w:val="003058B7"/>
    <w:rsid w:val="00307782"/>
    <w:rsid w:val="003207BB"/>
    <w:rsid w:val="00326184"/>
    <w:rsid w:val="003325DA"/>
    <w:rsid w:val="003427BE"/>
    <w:rsid w:val="003450C0"/>
    <w:rsid w:val="00363864"/>
    <w:rsid w:val="003667DE"/>
    <w:rsid w:val="0036727B"/>
    <w:rsid w:val="0037769E"/>
    <w:rsid w:val="0039084D"/>
    <w:rsid w:val="00395D9F"/>
    <w:rsid w:val="003B512E"/>
    <w:rsid w:val="003F127E"/>
    <w:rsid w:val="004633F0"/>
    <w:rsid w:val="00481705"/>
    <w:rsid w:val="004B4D43"/>
    <w:rsid w:val="004B7E0D"/>
    <w:rsid w:val="004C5E68"/>
    <w:rsid w:val="004D423B"/>
    <w:rsid w:val="004F2084"/>
    <w:rsid w:val="004F7075"/>
    <w:rsid w:val="0052343A"/>
    <w:rsid w:val="00552B2B"/>
    <w:rsid w:val="00552D7D"/>
    <w:rsid w:val="00563C2E"/>
    <w:rsid w:val="00566450"/>
    <w:rsid w:val="00566BDA"/>
    <w:rsid w:val="00581AC4"/>
    <w:rsid w:val="0058472E"/>
    <w:rsid w:val="00593DBA"/>
    <w:rsid w:val="005941FD"/>
    <w:rsid w:val="005B2903"/>
    <w:rsid w:val="005C1C65"/>
    <w:rsid w:val="005D37E9"/>
    <w:rsid w:val="005E6E20"/>
    <w:rsid w:val="005F0983"/>
    <w:rsid w:val="0060781D"/>
    <w:rsid w:val="00624CAE"/>
    <w:rsid w:val="0062781F"/>
    <w:rsid w:val="006325C6"/>
    <w:rsid w:val="006373CB"/>
    <w:rsid w:val="00645318"/>
    <w:rsid w:val="006557D8"/>
    <w:rsid w:val="00662C02"/>
    <w:rsid w:val="00673CD7"/>
    <w:rsid w:val="00677448"/>
    <w:rsid w:val="006B1D20"/>
    <w:rsid w:val="006D636A"/>
    <w:rsid w:val="006E2203"/>
    <w:rsid w:val="006E7B3C"/>
    <w:rsid w:val="0071373A"/>
    <w:rsid w:val="007256AE"/>
    <w:rsid w:val="00735B15"/>
    <w:rsid w:val="007475EE"/>
    <w:rsid w:val="007641CA"/>
    <w:rsid w:val="00780465"/>
    <w:rsid w:val="007961DC"/>
    <w:rsid w:val="007A379E"/>
    <w:rsid w:val="007E5E80"/>
    <w:rsid w:val="0081203D"/>
    <w:rsid w:val="008178BC"/>
    <w:rsid w:val="00834AAF"/>
    <w:rsid w:val="00853E7C"/>
    <w:rsid w:val="008568E1"/>
    <w:rsid w:val="00865272"/>
    <w:rsid w:val="0086577B"/>
    <w:rsid w:val="00870679"/>
    <w:rsid w:val="00886C4A"/>
    <w:rsid w:val="008B0B57"/>
    <w:rsid w:val="008C1A55"/>
    <w:rsid w:val="008C1AF8"/>
    <w:rsid w:val="008D272E"/>
    <w:rsid w:val="008D4193"/>
    <w:rsid w:val="008F045F"/>
    <w:rsid w:val="00910D5B"/>
    <w:rsid w:val="00913774"/>
    <w:rsid w:val="009329EE"/>
    <w:rsid w:val="00937625"/>
    <w:rsid w:val="00963790"/>
    <w:rsid w:val="00965662"/>
    <w:rsid w:val="00984F19"/>
    <w:rsid w:val="009A61A2"/>
    <w:rsid w:val="009D425B"/>
    <w:rsid w:val="009E06B2"/>
    <w:rsid w:val="00A12970"/>
    <w:rsid w:val="00A13493"/>
    <w:rsid w:val="00A250E4"/>
    <w:rsid w:val="00A44797"/>
    <w:rsid w:val="00A7577F"/>
    <w:rsid w:val="00A831FE"/>
    <w:rsid w:val="00A8744F"/>
    <w:rsid w:val="00A87FD6"/>
    <w:rsid w:val="00A94C40"/>
    <w:rsid w:val="00AA1DF4"/>
    <w:rsid w:val="00AA6E58"/>
    <w:rsid w:val="00AB0C44"/>
    <w:rsid w:val="00AB5284"/>
    <w:rsid w:val="00AC3233"/>
    <w:rsid w:val="00AC4FFD"/>
    <w:rsid w:val="00B0501B"/>
    <w:rsid w:val="00B10DE0"/>
    <w:rsid w:val="00B25AB9"/>
    <w:rsid w:val="00B34910"/>
    <w:rsid w:val="00B42117"/>
    <w:rsid w:val="00B45DC0"/>
    <w:rsid w:val="00B5286C"/>
    <w:rsid w:val="00B55909"/>
    <w:rsid w:val="00B630C8"/>
    <w:rsid w:val="00B652D7"/>
    <w:rsid w:val="00B727DB"/>
    <w:rsid w:val="00B75B22"/>
    <w:rsid w:val="00B8067C"/>
    <w:rsid w:val="00B81391"/>
    <w:rsid w:val="00B901D5"/>
    <w:rsid w:val="00B94058"/>
    <w:rsid w:val="00BC6137"/>
    <w:rsid w:val="00BD20C1"/>
    <w:rsid w:val="00BF4DAF"/>
    <w:rsid w:val="00BF7C89"/>
    <w:rsid w:val="00C10135"/>
    <w:rsid w:val="00C12BC9"/>
    <w:rsid w:val="00C17D12"/>
    <w:rsid w:val="00C319BB"/>
    <w:rsid w:val="00C3690F"/>
    <w:rsid w:val="00C44C02"/>
    <w:rsid w:val="00C7085D"/>
    <w:rsid w:val="00C83889"/>
    <w:rsid w:val="00C86C18"/>
    <w:rsid w:val="00CB575E"/>
    <w:rsid w:val="00CC5221"/>
    <w:rsid w:val="00CD05B4"/>
    <w:rsid w:val="00CE1F09"/>
    <w:rsid w:val="00CE39EE"/>
    <w:rsid w:val="00CE53B4"/>
    <w:rsid w:val="00CF5385"/>
    <w:rsid w:val="00D30A3F"/>
    <w:rsid w:val="00D5574B"/>
    <w:rsid w:val="00D627CC"/>
    <w:rsid w:val="00D654AD"/>
    <w:rsid w:val="00D710ED"/>
    <w:rsid w:val="00D7312E"/>
    <w:rsid w:val="00D7464D"/>
    <w:rsid w:val="00D812F3"/>
    <w:rsid w:val="00D83ED6"/>
    <w:rsid w:val="00D91602"/>
    <w:rsid w:val="00DB35E4"/>
    <w:rsid w:val="00DE3098"/>
    <w:rsid w:val="00E22409"/>
    <w:rsid w:val="00E57CBB"/>
    <w:rsid w:val="00E678EF"/>
    <w:rsid w:val="00E67E4C"/>
    <w:rsid w:val="00E96BE2"/>
    <w:rsid w:val="00EA7FDE"/>
    <w:rsid w:val="00EB02FF"/>
    <w:rsid w:val="00EB0768"/>
    <w:rsid w:val="00EB4652"/>
    <w:rsid w:val="00EC642F"/>
    <w:rsid w:val="00EC652C"/>
    <w:rsid w:val="00ED4021"/>
    <w:rsid w:val="00F22A0B"/>
    <w:rsid w:val="00F36117"/>
    <w:rsid w:val="00F72B1D"/>
    <w:rsid w:val="00F7319A"/>
    <w:rsid w:val="00F73E7D"/>
    <w:rsid w:val="00FC262E"/>
    <w:rsid w:val="00FD73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Paragraphe-CGPC"/>
    <w:rsid w:val="00D7312E"/>
    <w:pPr>
      <w:jc w:val="both"/>
    </w:pPr>
    <w:rPr>
      <w:rFonts w:ascii="Open Sans" w:hAnsi="Open Sans"/>
      <w:kern w:val="0"/>
      <w:sz w:val="24"/>
      <w14:ligatures w14:val="none"/>
    </w:rPr>
  </w:style>
  <w:style w:type="paragraph" w:styleId="Titre1">
    <w:name w:val="heading 1"/>
    <w:basedOn w:val="Normal"/>
    <w:next w:val="Titre2"/>
    <w:link w:val="Titre1Car"/>
    <w:autoRedefine/>
    <w:uiPriority w:val="9"/>
    <w:qFormat/>
    <w:rsid w:val="00D7464D"/>
    <w:pPr>
      <w:keepNext/>
      <w:keepLines/>
      <w:numPr>
        <w:numId w:val="2"/>
      </w:numPr>
      <w:spacing w:after="0" w:line="900" w:lineRule="atLeast"/>
      <w:jc w:val="left"/>
      <w:textAlignment w:val="baseline"/>
      <w:outlineLvl w:val="0"/>
    </w:pPr>
    <w:rPr>
      <w:rFonts w:eastAsiaTheme="majorEastAsia" w:cstheme="majorBidi"/>
      <w:b/>
      <w:color w:val="FFFFFF" w:themeColor="background1"/>
      <w:sz w:val="56"/>
      <w:szCs w:val="32"/>
    </w:rPr>
  </w:style>
  <w:style w:type="paragraph" w:styleId="Titre2">
    <w:name w:val="heading 2"/>
    <w:aliases w:val="Titre 2 CGPC"/>
    <w:basedOn w:val="Paragraphe-CGPC"/>
    <w:next w:val="Paragraphe-CGPC"/>
    <w:link w:val="Titre2Car"/>
    <w:autoRedefine/>
    <w:uiPriority w:val="9"/>
    <w:unhideWhenUsed/>
    <w:qFormat/>
    <w:rsid w:val="00A831FE"/>
    <w:pPr>
      <w:keepNext/>
      <w:keepLines/>
      <w:numPr>
        <w:numId w:val="3"/>
      </w:numPr>
      <w:spacing w:before="600" w:after="200" w:line="240" w:lineRule="auto"/>
      <w:contextualSpacing/>
      <w:jc w:val="left"/>
      <w:textAlignment w:val="baseline"/>
      <w:outlineLvl w:val="1"/>
    </w:pPr>
    <w:rPr>
      <w:rFonts w:eastAsiaTheme="majorEastAsia"/>
      <w:b/>
      <w:color w:val="4472C4" w:themeColor="accent1"/>
      <w:sz w:val="52"/>
      <w:szCs w:val="26"/>
    </w:rPr>
  </w:style>
  <w:style w:type="paragraph" w:styleId="Titre3">
    <w:name w:val="heading 3"/>
    <w:aliases w:val="Titre 3 CGPC"/>
    <w:basedOn w:val="Paragraphe-CGPC"/>
    <w:next w:val="Paragraphe-CGPC"/>
    <w:link w:val="Titre3Car"/>
    <w:autoRedefine/>
    <w:uiPriority w:val="9"/>
    <w:unhideWhenUsed/>
    <w:qFormat/>
    <w:rsid w:val="003667DE"/>
    <w:pPr>
      <w:keepNext/>
      <w:keepLines/>
      <w:numPr>
        <w:numId w:val="4"/>
      </w:numPr>
      <w:shd w:val="clear" w:color="auto" w:fill="FFFFFF"/>
      <w:spacing w:before="600" w:after="200" w:line="240" w:lineRule="auto"/>
      <w:textAlignment w:val="baseline"/>
      <w:outlineLvl w:val="2"/>
    </w:pPr>
    <w:rPr>
      <w:rFonts w:eastAsia="Times New Roman"/>
      <w:b/>
      <w:color w:val="4472C4" w:themeColor="accent1"/>
      <w:sz w:val="48"/>
      <w:szCs w:val="30"/>
      <w:lang w:eastAsia="fr-FR"/>
    </w:rPr>
  </w:style>
  <w:style w:type="paragraph" w:styleId="Titre4">
    <w:name w:val="heading 4"/>
    <w:aliases w:val="Titre 4 CGPC"/>
    <w:basedOn w:val="Paragraphe-CGPC"/>
    <w:next w:val="Normal"/>
    <w:link w:val="Titre4Car"/>
    <w:autoRedefine/>
    <w:uiPriority w:val="9"/>
    <w:unhideWhenUsed/>
    <w:qFormat/>
    <w:rsid w:val="00D91602"/>
    <w:pPr>
      <w:keepNext/>
      <w:keepLines/>
      <w:numPr>
        <w:numId w:val="1"/>
      </w:numPr>
      <w:spacing w:before="280" w:after="240"/>
      <w:jc w:val="left"/>
      <w:outlineLvl w:val="3"/>
    </w:pPr>
    <w:rPr>
      <w:rFonts w:eastAsiaTheme="majorEastAsia" w:cstheme="majorBidi"/>
      <w:b/>
      <w:iCs/>
      <w:color w:val="4472C4" w:themeColor="accent1"/>
      <w:sz w:val="44"/>
      <w:u w:val="single"/>
    </w:rPr>
  </w:style>
  <w:style w:type="paragraph" w:styleId="Titre5">
    <w:name w:val="heading 5"/>
    <w:aliases w:val="Titre 5 CGPC"/>
    <w:basedOn w:val="Paragraphe-CGPC"/>
    <w:next w:val="Normal"/>
    <w:link w:val="Titre5Car"/>
    <w:autoRedefine/>
    <w:uiPriority w:val="9"/>
    <w:unhideWhenUsed/>
    <w:qFormat/>
    <w:rsid w:val="001543F0"/>
    <w:pPr>
      <w:keepNext/>
      <w:keepLines/>
      <w:numPr>
        <w:numId w:val="5"/>
      </w:numPr>
      <w:spacing w:before="400" w:after="360"/>
      <w:outlineLvl w:val="4"/>
    </w:pPr>
    <w:rPr>
      <w:rFonts w:eastAsia="Times New Roman" w:cstheme="majorBidi"/>
      <w:b/>
      <w:i/>
      <w:color w:val="2F5496" w:themeColor="accent1" w:themeShade="BF"/>
      <w:sz w:val="28"/>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A831FE"/>
    <w:rPr>
      <w:rFonts w:ascii="Open Sans" w:eastAsiaTheme="majorEastAsia" w:hAnsi="Open Sans" w:cs="Open Sans"/>
      <w:b/>
      <w:bCs/>
      <w:color w:val="4472C4" w:themeColor="accent1"/>
      <w:sz w:val="52"/>
      <w:szCs w:val="26"/>
      <w:bdr w:val="none" w:sz="0" w:space="0" w:color="auto" w:frame="1"/>
    </w:rPr>
  </w:style>
  <w:style w:type="character" w:customStyle="1" w:styleId="Titre1Car">
    <w:name w:val="Titre 1 Car"/>
    <w:basedOn w:val="Policepardfaut"/>
    <w:link w:val="Titre1"/>
    <w:uiPriority w:val="9"/>
    <w:rsid w:val="00D7464D"/>
    <w:rPr>
      <w:rFonts w:ascii="Open Sans" w:eastAsiaTheme="majorEastAsia" w:hAnsi="Open Sans" w:cstheme="majorBidi"/>
      <w:b/>
      <w:color w:val="FFFFFF" w:themeColor="background1"/>
      <w:kern w:val="0"/>
      <w:sz w:val="56"/>
      <w:szCs w:val="32"/>
      <w14:ligatures w14:val="none"/>
    </w:rPr>
  </w:style>
  <w:style w:type="paragraph" w:customStyle="1" w:styleId="Paragraphe-CGPC">
    <w:name w:val="Paragraphe-CGPC"/>
    <w:basedOn w:val="Normal"/>
    <w:link w:val="Paragraphe-CGPCCar"/>
    <w:autoRedefine/>
    <w:qFormat/>
    <w:rsid w:val="001543F0"/>
    <w:rPr>
      <w:rFonts w:cs="Open Sans"/>
      <w:bCs/>
      <w:color w:val="000000"/>
      <w:kern w:val="2"/>
      <w:sz w:val="32"/>
      <w:szCs w:val="24"/>
      <w:bdr w:val="none" w:sz="0" w:space="0" w:color="auto" w:frame="1"/>
      <w14:ligatures w14:val="standardContextual"/>
    </w:rPr>
  </w:style>
  <w:style w:type="character" w:customStyle="1" w:styleId="Paragraphe-CGPCCar">
    <w:name w:val="Paragraphe-CGPC Car"/>
    <w:basedOn w:val="Policepardfaut"/>
    <w:link w:val="Paragraphe-CGPC"/>
    <w:rsid w:val="001543F0"/>
    <w:rPr>
      <w:rFonts w:ascii="Open Sans" w:hAnsi="Open Sans" w:cs="Open Sans"/>
      <w:bCs/>
      <w:color w:val="000000"/>
      <w:sz w:val="32"/>
      <w:szCs w:val="24"/>
      <w:bdr w:val="none" w:sz="0" w:space="0" w:color="auto" w:frame="1"/>
    </w:rPr>
  </w:style>
  <w:style w:type="character" w:customStyle="1" w:styleId="Titre3Car">
    <w:name w:val="Titre 3 Car"/>
    <w:aliases w:val="Titre 3 CGPC Car"/>
    <w:basedOn w:val="Policepardfaut"/>
    <w:link w:val="Titre3"/>
    <w:uiPriority w:val="9"/>
    <w:rsid w:val="003667DE"/>
    <w:rPr>
      <w:rFonts w:ascii="Open Sans" w:eastAsia="Times New Roman" w:hAnsi="Open Sans" w:cs="Open Sans"/>
      <w:b/>
      <w:bCs/>
      <w:color w:val="4472C4" w:themeColor="accent1"/>
      <w:sz w:val="48"/>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D91602"/>
    <w:rPr>
      <w:rFonts w:ascii="Open Sans" w:eastAsiaTheme="majorEastAsia" w:hAnsi="Open Sans" w:cstheme="majorBidi"/>
      <w:b/>
      <w:bCs/>
      <w:iCs/>
      <w:color w:val="4472C4" w:themeColor="accent1"/>
      <w:sz w:val="44"/>
      <w:szCs w:val="24"/>
      <w:u w:val="single"/>
      <w:bdr w:val="none" w:sz="0" w:space="0" w:color="auto" w:frame="1"/>
    </w:rPr>
  </w:style>
  <w:style w:type="character" w:customStyle="1" w:styleId="Titre5Car">
    <w:name w:val="Titre 5 Car"/>
    <w:aliases w:val="Titre 5 CGPC Car"/>
    <w:basedOn w:val="Policepardfaut"/>
    <w:link w:val="Titre5"/>
    <w:uiPriority w:val="9"/>
    <w:rsid w:val="00D91602"/>
    <w:rPr>
      <w:rFonts w:ascii="Open Sans" w:eastAsia="Times New Roman" w:hAnsi="Open Sans" w:cstheme="majorBidi"/>
      <w:b/>
      <w:bCs/>
      <w:i/>
      <w:color w:val="2F5496" w:themeColor="accent1" w:themeShade="BF"/>
      <w:sz w:val="28"/>
      <w:szCs w:val="24"/>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Corpsdetexte">
    <w:name w:val="Body Text"/>
    <w:basedOn w:val="Normal"/>
    <w:link w:val="CorpsdetexteCar"/>
    <w:uiPriority w:val="1"/>
    <w:rsid w:val="002B65BE"/>
    <w:pPr>
      <w:widowControl w:val="0"/>
      <w:autoSpaceDE w:val="0"/>
      <w:autoSpaceDN w:val="0"/>
      <w:spacing w:after="0" w:line="240" w:lineRule="auto"/>
      <w:jc w:val="left"/>
    </w:pPr>
    <w:rPr>
      <w:rFonts w:ascii="Times New Roman" w:eastAsia="Times New Roman" w:hAnsi="Times New Roman" w:cs="Times New Roman"/>
      <w:sz w:val="20"/>
      <w:szCs w:val="20"/>
    </w:rPr>
  </w:style>
  <w:style w:type="character" w:customStyle="1" w:styleId="CorpsdetexteCar">
    <w:name w:val="Corps de texte Car"/>
    <w:basedOn w:val="Policepardfaut"/>
    <w:link w:val="Corpsdetexte"/>
    <w:uiPriority w:val="1"/>
    <w:rsid w:val="002B65BE"/>
    <w:rPr>
      <w:rFonts w:ascii="Times New Roman" w:eastAsia="Times New Roman" w:hAnsi="Times New Roman" w:cs="Times New Roman"/>
      <w:kern w:val="0"/>
      <w:sz w:val="20"/>
      <w:szCs w:val="20"/>
      <w14:ligatures w14:val="none"/>
    </w:rPr>
  </w:style>
  <w:style w:type="paragraph" w:customStyle="1" w:styleId="msonormal0">
    <w:name w:val="msonormal"/>
    <w:basedOn w:val="Normal"/>
    <w:rsid w:val="00CB575E"/>
    <w:pPr>
      <w:spacing w:before="100" w:beforeAutospacing="1" w:after="100" w:afterAutospacing="1" w:line="240" w:lineRule="auto"/>
      <w:jc w:val="left"/>
    </w:pPr>
    <w:rPr>
      <w:rFonts w:ascii="Times New Roman" w:eastAsia="Times New Roman" w:hAnsi="Times New Roman" w:cs="Times New Roman"/>
      <w:szCs w:val="24"/>
      <w:lang w:val="en-US"/>
    </w:rPr>
  </w:style>
  <w:style w:type="paragraph" w:customStyle="1" w:styleId="etpbtextinner">
    <w:name w:val="et_pb_text_inner"/>
    <w:basedOn w:val="Normal"/>
    <w:rsid w:val="00CB575E"/>
    <w:pPr>
      <w:spacing w:before="100" w:beforeAutospacing="1" w:after="100" w:afterAutospacing="1" w:line="240" w:lineRule="auto"/>
      <w:jc w:val="left"/>
    </w:pPr>
    <w:rPr>
      <w:rFonts w:ascii="Times New Roman" w:eastAsia="Times New Roman" w:hAnsi="Times New Roman" w:cs="Times New Roman"/>
      <w:szCs w:val="24"/>
      <w:lang w:val="en-US"/>
    </w:rPr>
  </w:style>
  <w:style w:type="character" w:customStyle="1" w:styleId="etpbimagewrap">
    <w:name w:val="et_pb_image_wrap"/>
    <w:basedOn w:val="Policepardfaut"/>
    <w:rsid w:val="00CB575E"/>
  </w:style>
  <w:style w:type="character" w:styleId="Lienhypertextesuivivisit">
    <w:name w:val="FollowedHyperlink"/>
    <w:basedOn w:val="Policepardfaut"/>
    <w:uiPriority w:val="99"/>
    <w:semiHidden/>
    <w:unhideWhenUsed/>
    <w:rsid w:val="00CB575E"/>
    <w:rPr>
      <w:color w:val="800080"/>
      <w:u w:val="single"/>
    </w:rPr>
  </w:style>
  <w:style w:type="character" w:customStyle="1" w:styleId="fooicon">
    <w:name w:val="fooicon"/>
    <w:basedOn w:val="Policepardfaut"/>
    <w:rsid w:val="00CB575E"/>
  </w:style>
  <w:style w:type="character" w:customStyle="1" w:styleId="txt">
    <w:name w:val="txt"/>
    <w:basedOn w:val="Policepardfaut"/>
    <w:rsid w:val="009D425B"/>
  </w:style>
  <w:style w:type="character" w:customStyle="1" w:styleId="qw-sup">
    <w:name w:val="qw-sup"/>
    <w:basedOn w:val="Policepardfaut"/>
    <w:rsid w:val="009D42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4944206">
      <w:bodyDiv w:val="1"/>
      <w:marLeft w:val="0"/>
      <w:marRight w:val="0"/>
      <w:marTop w:val="0"/>
      <w:marBottom w:val="0"/>
      <w:divBdr>
        <w:top w:val="none" w:sz="0" w:space="0" w:color="auto"/>
        <w:left w:val="none" w:sz="0" w:space="0" w:color="auto"/>
        <w:bottom w:val="none" w:sz="0" w:space="0" w:color="auto"/>
        <w:right w:val="none" w:sz="0" w:space="0" w:color="auto"/>
      </w:divBdr>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2609798">
      <w:bodyDiv w:val="1"/>
      <w:marLeft w:val="0"/>
      <w:marRight w:val="0"/>
      <w:marTop w:val="0"/>
      <w:marBottom w:val="0"/>
      <w:divBdr>
        <w:top w:val="none" w:sz="0" w:space="0" w:color="auto"/>
        <w:left w:val="none" w:sz="0" w:space="0" w:color="auto"/>
        <w:bottom w:val="none" w:sz="0" w:space="0" w:color="auto"/>
        <w:right w:val="none" w:sz="0" w:space="0" w:color="auto"/>
      </w:divBdr>
    </w:div>
    <w:div w:id="699015359">
      <w:bodyDiv w:val="1"/>
      <w:marLeft w:val="0"/>
      <w:marRight w:val="0"/>
      <w:marTop w:val="0"/>
      <w:marBottom w:val="0"/>
      <w:divBdr>
        <w:top w:val="none" w:sz="0" w:space="0" w:color="auto"/>
        <w:left w:val="none" w:sz="0" w:space="0" w:color="auto"/>
        <w:bottom w:val="none" w:sz="0" w:space="0" w:color="auto"/>
        <w:right w:val="none" w:sz="0" w:space="0" w:color="auto"/>
      </w:divBdr>
      <w:divsChild>
        <w:div w:id="1449086206">
          <w:marLeft w:val="0"/>
          <w:marRight w:val="0"/>
          <w:marTop w:val="0"/>
          <w:marBottom w:val="150"/>
          <w:divBdr>
            <w:top w:val="none" w:sz="0" w:space="0" w:color="auto"/>
            <w:left w:val="none" w:sz="0" w:space="0" w:color="auto"/>
            <w:bottom w:val="none" w:sz="0" w:space="0" w:color="auto"/>
            <w:right w:val="none" w:sz="0" w:space="0" w:color="auto"/>
          </w:divBdr>
          <w:divsChild>
            <w:div w:id="1216166094">
              <w:marLeft w:val="1260"/>
              <w:marRight w:val="0"/>
              <w:marTop w:val="0"/>
              <w:marBottom w:val="0"/>
              <w:divBdr>
                <w:top w:val="none" w:sz="0" w:space="0" w:color="auto"/>
                <w:left w:val="none" w:sz="0" w:space="0" w:color="auto"/>
                <w:bottom w:val="none" w:sz="0" w:space="0" w:color="auto"/>
                <w:right w:val="none" w:sz="0" w:space="0" w:color="auto"/>
              </w:divBdr>
              <w:divsChild>
                <w:div w:id="1762488191">
                  <w:marLeft w:val="-180"/>
                  <w:marRight w:val="0"/>
                  <w:marTop w:val="0"/>
                  <w:marBottom w:val="0"/>
                  <w:divBdr>
                    <w:top w:val="none" w:sz="0" w:space="0" w:color="auto"/>
                    <w:left w:val="single" w:sz="18" w:space="7" w:color="487FC6"/>
                    <w:bottom w:val="none" w:sz="0" w:space="0" w:color="auto"/>
                    <w:right w:val="none" w:sz="0" w:space="0" w:color="auto"/>
                  </w:divBdr>
                </w:div>
                <w:div w:id="1343626764">
                  <w:marLeft w:val="750"/>
                  <w:marRight w:val="0"/>
                  <w:marTop w:val="180"/>
                  <w:marBottom w:val="240"/>
                  <w:divBdr>
                    <w:top w:val="none" w:sz="0" w:space="0" w:color="auto"/>
                    <w:left w:val="none" w:sz="0" w:space="0" w:color="auto"/>
                    <w:bottom w:val="none" w:sz="0" w:space="0" w:color="auto"/>
                    <w:right w:val="none" w:sz="0" w:space="0" w:color="auto"/>
                  </w:divBdr>
                  <w:divsChild>
                    <w:div w:id="361714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7445244">
          <w:marLeft w:val="0"/>
          <w:marRight w:val="0"/>
          <w:marTop w:val="0"/>
          <w:marBottom w:val="150"/>
          <w:divBdr>
            <w:top w:val="none" w:sz="0" w:space="0" w:color="auto"/>
            <w:left w:val="none" w:sz="0" w:space="0" w:color="auto"/>
            <w:bottom w:val="none" w:sz="0" w:space="0" w:color="auto"/>
            <w:right w:val="none" w:sz="0" w:space="0" w:color="auto"/>
          </w:divBdr>
          <w:divsChild>
            <w:div w:id="1068771979">
              <w:marLeft w:val="1260"/>
              <w:marRight w:val="0"/>
              <w:marTop w:val="0"/>
              <w:marBottom w:val="0"/>
              <w:divBdr>
                <w:top w:val="none" w:sz="0" w:space="0" w:color="auto"/>
                <w:left w:val="none" w:sz="0" w:space="0" w:color="auto"/>
                <w:bottom w:val="none" w:sz="0" w:space="0" w:color="auto"/>
                <w:right w:val="none" w:sz="0" w:space="0" w:color="auto"/>
              </w:divBdr>
            </w:div>
          </w:divsChild>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0982528">
      <w:bodyDiv w:val="1"/>
      <w:marLeft w:val="0"/>
      <w:marRight w:val="0"/>
      <w:marTop w:val="0"/>
      <w:marBottom w:val="0"/>
      <w:divBdr>
        <w:top w:val="none" w:sz="0" w:space="0" w:color="auto"/>
        <w:left w:val="none" w:sz="0" w:space="0" w:color="auto"/>
        <w:bottom w:val="none" w:sz="0" w:space="0" w:color="auto"/>
        <w:right w:val="none" w:sz="0" w:space="0" w:color="auto"/>
      </w:divBdr>
      <w:divsChild>
        <w:div w:id="1185753952">
          <w:marLeft w:val="0"/>
          <w:marRight w:val="0"/>
          <w:marTop w:val="0"/>
          <w:marBottom w:val="0"/>
          <w:divBdr>
            <w:top w:val="none" w:sz="0" w:space="0" w:color="auto"/>
            <w:left w:val="none" w:sz="0" w:space="0" w:color="auto"/>
            <w:bottom w:val="none" w:sz="0" w:space="0" w:color="auto"/>
            <w:right w:val="none" w:sz="0" w:space="0" w:color="auto"/>
          </w:divBdr>
          <w:divsChild>
            <w:div w:id="1036542171">
              <w:marLeft w:val="0"/>
              <w:marRight w:val="0"/>
              <w:marTop w:val="100"/>
              <w:marBottom w:val="100"/>
              <w:divBdr>
                <w:top w:val="none" w:sz="0" w:space="0" w:color="auto"/>
                <w:left w:val="none" w:sz="0" w:space="0" w:color="auto"/>
                <w:bottom w:val="none" w:sz="0" w:space="0" w:color="auto"/>
                <w:right w:val="none" w:sz="0" w:space="0" w:color="auto"/>
              </w:divBdr>
              <w:divsChild>
                <w:div w:id="688875085">
                  <w:marLeft w:val="0"/>
                  <w:marRight w:val="0"/>
                  <w:marTop w:val="0"/>
                  <w:marBottom w:val="0"/>
                  <w:divBdr>
                    <w:top w:val="none" w:sz="0" w:space="0" w:color="auto"/>
                    <w:left w:val="none" w:sz="0" w:space="0" w:color="auto"/>
                    <w:bottom w:val="none" w:sz="0" w:space="0" w:color="auto"/>
                    <w:right w:val="none" w:sz="0" w:space="0" w:color="auto"/>
                  </w:divBdr>
                  <w:divsChild>
                    <w:div w:id="1694769249">
                      <w:marLeft w:val="0"/>
                      <w:marRight w:val="0"/>
                      <w:marTop w:val="0"/>
                      <w:marBottom w:val="578"/>
                      <w:divBdr>
                        <w:top w:val="none" w:sz="0" w:space="0" w:color="auto"/>
                        <w:left w:val="none" w:sz="0" w:space="0" w:color="auto"/>
                        <w:bottom w:val="none" w:sz="0" w:space="0" w:color="auto"/>
                        <w:right w:val="none" w:sz="0" w:space="0" w:color="auto"/>
                      </w:divBdr>
                    </w:div>
                  </w:divsChild>
                </w:div>
              </w:divsChild>
            </w:div>
          </w:divsChild>
        </w:div>
        <w:div w:id="838929074">
          <w:marLeft w:val="0"/>
          <w:marRight w:val="0"/>
          <w:marTop w:val="0"/>
          <w:marBottom w:val="0"/>
          <w:divBdr>
            <w:top w:val="none" w:sz="0" w:space="0" w:color="auto"/>
            <w:left w:val="none" w:sz="0" w:space="0" w:color="auto"/>
            <w:bottom w:val="none" w:sz="0" w:space="0" w:color="auto"/>
            <w:right w:val="none" w:sz="0" w:space="0" w:color="auto"/>
          </w:divBdr>
          <w:divsChild>
            <w:div w:id="930360494">
              <w:marLeft w:val="0"/>
              <w:marRight w:val="0"/>
              <w:marTop w:val="100"/>
              <w:marBottom w:val="100"/>
              <w:divBdr>
                <w:top w:val="none" w:sz="0" w:space="0" w:color="auto"/>
                <w:left w:val="none" w:sz="0" w:space="0" w:color="auto"/>
                <w:bottom w:val="none" w:sz="0" w:space="0" w:color="auto"/>
                <w:right w:val="none" w:sz="0" w:space="0" w:color="auto"/>
              </w:divBdr>
              <w:divsChild>
                <w:div w:id="1288045323">
                  <w:marLeft w:val="0"/>
                  <w:marRight w:val="0"/>
                  <w:marTop w:val="0"/>
                  <w:marBottom w:val="0"/>
                  <w:divBdr>
                    <w:top w:val="none" w:sz="0" w:space="0" w:color="auto"/>
                    <w:left w:val="none" w:sz="0" w:space="0" w:color="auto"/>
                    <w:bottom w:val="none" w:sz="0" w:space="0" w:color="auto"/>
                    <w:right w:val="none" w:sz="0" w:space="0" w:color="auto"/>
                  </w:divBdr>
                  <w:divsChild>
                    <w:div w:id="481310025">
                      <w:marLeft w:val="0"/>
                      <w:marRight w:val="0"/>
                      <w:marTop w:val="0"/>
                      <w:marBottom w:val="578"/>
                      <w:divBdr>
                        <w:top w:val="none" w:sz="0" w:space="0" w:color="auto"/>
                        <w:left w:val="none" w:sz="0" w:space="0" w:color="auto"/>
                        <w:bottom w:val="none" w:sz="0" w:space="0" w:color="auto"/>
                        <w:right w:val="none" w:sz="0" w:space="0" w:color="auto"/>
                      </w:divBdr>
                    </w:div>
                  </w:divsChild>
                </w:div>
                <w:div w:id="718168803">
                  <w:marLeft w:val="0"/>
                  <w:marRight w:val="0"/>
                  <w:marTop w:val="0"/>
                  <w:marBottom w:val="578"/>
                  <w:divBdr>
                    <w:top w:val="none" w:sz="0" w:space="0" w:color="auto"/>
                    <w:left w:val="none" w:sz="0" w:space="0" w:color="auto"/>
                    <w:bottom w:val="none" w:sz="0" w:space="0" w:color="auto"/>
                    <w:right w:val="none" w:sz="0" w:space="0" w:color="auto"/>
                  </w:divBdr>
                  <w:divsChild>
                    <w:div w:id="1491479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1561886">
          <w:marLeft w:val="0"/>
          <w:marRight w:val="0"/>
          <w:marTop w:val="0"/>
          <w:marBottom w:val="0"/>
          <w:divBdr>
            <w:top w:val="none" w:sz="0" w:space="0" w:color="auto"/>
            <w:left w:val="none" w:sz="0" w:space="0" w:color="auto"/>
            <w:bottom w:val="none" w:sz="0" w:space="0" w:color="auto"/>
            <w:right w:val="none" w:sz="0" w:space="0" w:color="auto"/>
          </w:divBdr>
          <w:divsChild>
            <w:div w:id="507983133">
              <w:marLeft w:val="0"/>
              <w:marRight w:val="0"/>
              <w:marTop w:val="100"/>
              <w:marBottom w:val="100"/>
              <w:divBdr>
                <w:top w:val="none" w:sz="0" w:space="0" w:color="auto"/>
                <w:left w:val="none" w:sz="0" w:space="0" w:color="auto"/>
                <w:bottom w:val="none" w:sz="0" w:space="0" w:color="auto"/>
                <w:right w:val="none" w:sz="0" w:space="0" w:color="auto"/>
              </w:divBdr>
              <w:divsChild>
                <w:div w:id="1350909413">
                  <w:marLeft w:val="0"/>
                  <w:marRight w:val="0"/>
                  <w:marTop w:val="0"/>
                  <w:marBottom w:val="578"/>
                  <w:divBdr>
                    <w:top w:val="none" w:sz="0" w:space="0" w:color="auto"/>
                    <w:left w:val="none" w:sz="0" w:space="0" w:color="auto"/>
                    <w:bottom w:val="none" w:sz="0" w:space="0" w:color="auto"/>
                    <w:right w:val="none" w:sz="0" w:space="0" w:color="auto"/>
                  </w:divBdr>
                  <w:divsChild>
                    <w:div w:id="1553343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054782">
          <w:marLeft w:val="0"/>
          <w:marRight w:val="0"/>
          <w:marTop w:val="0"/>
          <w:marBottom w:val="0"/>
          <w:divBdr>
            <w:top w:val="none" w:sz="0" w:space="0" w:color="auto"/>
            <w:left w:val="none" w:sz="0" w:space="0" w:color="auto"/>
            <w:bottom w:val="none" w:sz="0" w:space="0" w:color="auto"/>
            <w:right w:val="none" w:sz="0" w:space="0" w:color="auto"/>
          </w:divBdr>
          <w:divsChild>
            <w:div w:id="902443607">
              <w:marLeft w:val="0"/>
              <w:marRight w:val="0"/>
              <w:marTop w:val="100"/>
              <w:marBottom w:val="100"/>
              <w:divBdr>
                <w:top w:val="none" w:sz="0" w:space="0" w:color="auto"/>
                <w:left w:val="none" w:sz="0" w:space="0" w:color="auto"/>
                <w:bottom w:val="none" w:sz="0" w:space="0" w:color="auto"/>
                <w:right w:val="none" w:sz="0" w:space="0" w:color="auto"/>
              </w:divBdr>
              <w:divsChild>
                <w:div w:id="2037076017">
                  <w:marLeft w:val="0"/>
                  <w:marRight w:val="0"/>
                  <w:marTop w:val="0"/>
                  <w:marBottom w:val="578"/>
                  <w:divBdr>
                    <w:top w:val="none" w:sz="0" w:space="0" w:color="auto"/>
                    <w:left w:val="none" w:sz="0" w:space="0" w:color="auto"/>
                    <w:bottom w:val="none" w:sz="0" w:space="0" w:color="auto"/>
                    <w:right w:val="none" w:sz="0" w:space="0" w:color="auto"/>
                  </w:divBdr>
                  <w:divsChild>
                    <w:div w:id="1580750774">
                      <w:marLeft w:val="0"/>
                      <w:marRight w:val="0"/>
                      <w:marTop w:val="0"/>
                      <w:marBottom w:val="0"/>
                      <w:divBdr>
                        <w:top w:val="none" w:sz="0" w:space="0" w:color="auto"/>
                        <w:left w:val="none" w:sz="0" w:space="0" w:color="auto"/>
                        <w:bottom w:val="none" w:sz="0" w:space="0" w:color="auto"/>
                        <w:right w:val="none" w:sz="0" w:space="0" w:color="auto"/>
                      </w:divBdr>
                    </w:div>
                  </w:divsChild>
                </w:div>
                <w:div w:id="113446536">
                  <w:marLeft w:val="0"/>
                  <w:marRight w:val="0"/>
                  <w:marTop w:val="0"/>
                  <w:marBottom w:val="578"/>
                  <w:divBdr>
                    <w:top w:val="none" w:sz="0" w:space="0" w:color="auto"/>
                    <w:left w:val="none" w:sz="0" w:space="0" w:color="auto"/>
                    <w:bottom w:val="none" w:sz="0" w:space="0" w:color="auto"/>
                    <w:right w:val="none" w:sz="0" w:space="0" w:color="auto"/>
                  </w:divBdr>
                </w:div>
                <w:div w:id="1915509714">
                  <w:marLeft w:val="0"/>
                  <w:marRight w:val="0"/>
                  <w:marTop w:val="0"/>
                  <w:marBottom w:val="578"/>
                  <w:divBdr>
                    <w:top w:val="none" w:sz="0" w:space="0" w:color="auto"/>
                    <w:left w:val="none" w:sz="0" w:space="0" w:color="auto"/>
                    <w:bottom w:val="none" w:sz="0" w:space="0" w:color="auto"/>
                    <w:right w:val="none" w:sz="0" w:space="0" w:color="auto"/>
                  </w:divBdr>
                  <w:divsChild>
                    <w:div w:id="195627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676261">
          <w:marLeft w:val="0"/>
          <w:marRight w:val="0"/>
          <w:marTop w:val="0"/>
          <w:marBottom w:val="0"/>
          <w:divBdr>
            <w:top w:val="none" w:sz="0" w:space="0" w:color="auto"/>
            <w:left w:val="none" w:sz="0" w:space="0" w:color="auto"/>
            <w:bottom w:val="none" w:sz="0" w:space="0" w:color="auto"/>
            <w:right w:val="none" w:sz="0" w:space="0" w:color="auto"/>
          </w:divBdr>
          <w:divsChild>
            <w:div w:id="258023704">
              <w:marLeft w:val="0"/>
              <w:marRight w:val="0"/>
              <w:marTop w:val="100"/>
              <w:marBottom w:val="100"/>
              <w:divBdr>
                <w:top w:val="none" w:sz="0" w:space="0" w:color="auto"/>
                <w:left w:val="none" w:sz="0" w:space="0" w:color="auto"/>
                <w:bottom w:val="none" w:sz="0" w:space="0" w:color="auto"/>
                <w:right w:val="none" w:sz="0" w:space="0" w:color="auto"/>
              </w:divBdr>
              <w:divsChild>
                <w:div w:id="1487625927">
                  <w:marLeft w:val="0"/>
                  <w:marRight w:val="0"/>
                  <w:marTop w:val="0"/>
                  <w:marBottom w:val="0"/>
                  <w:divBdr>
                    <w:top w:val="none" w:sz="0" w:space="0" w:color="auto"/>
                    <w:left w:val="none" w:sz="0" w:space="0" w:color="auto"/>
                    <w:bottom w:val="none" w:sz="0" w:space="0" w:color="auto"/>
                    <w:right w:val="none" w:sz="0" w:space="0" w:color="auto"/>
                  </w:divBdr>
                  <w:divsChild>
                    <w:div w:id="819465209">
                      <w:marLeft w:val="0"/>
                      <w:marRight w:val="0"/>
                      <w:marTop w:val="0"/>
                      <w:marBottom w:val="578"/>
                      <w:divBdr>
                        <w:top w:val="none" w:sz="0" w:space="0" w:color="auto"/>
                        <w:left w:val="none" w:sz="0" w:space="0" w:color="auto"/>
                        <w:bottom w:val="none" w:sz="0" w:space="0" w:color="auto"/>
                        <w:right w:val="none" w:sz="0" w:space="0" w:color="auto"/>
                      </w:divBdr>
                      <w:divsChild>
                        <w:div w:id="16479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6734042">
          <w:marLeft w:val="0"/>
          <w:marRight w:val="0"/>
          <w:marTop w:val="0"/>
          <w:marBottom w:val="0"/>
          <w:divBdr>
            <w:top w:val="none" w:sz="0" w:space="0" w:color="auto"/>
            <w:left w:val="none" w:sz="0" w:space="0" w:color="auto"/>
            <w:bottom w:val="none" w:sz="0" w:space="0" w:color="auto"/>
            <w:right w:val="none" w:sz="0" w:space="0" w:color="auto"/>
          </w:divBdr>
          <w:divsChild>
            <w:div w:id="1467579806">
              <w:marLeft w:val="0"/>
              <w:marRight w:val="0"/>
              <w:marTop w:val="100"/>
              <w:marBottom w:val="100"/>
              <w:divBdr>
                <w:top w:val="none" w:sz="0" w:space="0" w:color="auto"/>
                <w:left w:val="none" w:sz="0" w:space="0" w:color="auto"/>
                <w:bottom w:val="none" w:sz="0" w:space="0" w:color="auto"/>
                <w:right w:val="none" w:sz="0" w:space="0" w:color="auto"/>
              </w:divBdr>
              <w:divsChild>
                <w:div w:id="389966270">
                  <w:marLeft w:val="0"/>
                  <w:marRight w:val="0"/>
                  <w:marTop w:val="0"/>
                  <w:marBottom w:val="0"/>
                  <w:divBdr>
                    <w:top w:val="none" w:sz="0" w:space="0" w:color="auto"/>
                    <w:left w:val="none" w:sz="0" w:space="0" w:color="auto"/>
                    <w:bottom w:val="none" w:sz="0" w:space="0" w:color="auto"/>
                    <w:right w:val="none" w:sz="0" w:space="0" w:color="auto"/>
                  </w:divBdr>
                  <w:divsChild>
                    <w:div w:id="400326038">
                      <w:marLeft w:val="0"/>
                      <w:marRight w:val="0"/>
                      <w:marTop w:val="0"/>
                      <w:marBottom w:val="578"/>
                      <w:divBdr>
                        <w:top w:val="none" w:sz="0" w:space="0" w:color="auto"/>
                        <w:left w:val="none" w:sz="0" w:space="0" w:color="auto"/>
                        <w:bottom w:val="none" w:sz="0" w:space="0" w:color="auto"/>
                        <w:right w:val="none" w:sz="0" w:space="0" w:color="auto"/>
                      </w:divBdr>
                      <w:divsChild>
                        <w:div w:id="63722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46533">
          <w:marLeft w:val="0"/>
          <w:marRight w:val="0"/>
          <w:marTop w:val="0"/>
          <w:marBottom w:val="0"/>
          <w:divBdr>
            <w:top w:val="none" w:sz="0" w:space="0" w:color="auto"/>
            <w:left w:val="none" w:sz="0" w:space="0" w:color="auto"/>
            <w:bottom w:val="none" w:sz="0" w:space="0" w:color="auto"/>
            <w:right w:val="none" w:sz="0" w:space="0" w:color="auto"/>
          </w:divBdr>
          <w:divsChild>
            <w:div w:id="1041974700">
              <w:marLeft w:val="0"/>
              <w:marRight w:val="0"/>
              <w:marTop w:val="100"/>
              <w:marBottom w:val="100"/>
              <w:divBdr>
                <w:top w:val="none" w:sz="0" w:space="0" w:color="auto"/>
                <w:left w:val="none" w:sz="0" w:space="0" w:color="auto"/>
                <w:bottom w:val="none" w:sz="0" w:space="0" w:color="auto"/>
                <w:right w:val="none" w:sz="0" w:space="0" w:color="auto"/>
              </w:divBdr>
              <w:divsChild>
                <w:div w:id="1766923488">
                  <w:marLeft w:val="0"/>
                  <w:marRight w:val="0"/>
                  <w:marTop w:val="0"/>
                  <w:marBottom w:val="0"/>
                  <w:divBdr>
                    <w:top w:val="none" w:sz="0" w:space="0" w:color="auto"/>
                    <w:left w:val="none" w:sz="0" w:space="0" w:color="auto"/>
                    <w:bottom w:val="none" w:sz="0" w:space="0" w:color="auto"/>
                    <w:right w:val="none" w:sz="0" w:space="0" w:color="auto"/>
                  </w:divBdr>
                  <w:divsChild>
                    <w:div w:id="1188830413">
                      <w:marLeft w:val="0"/>
                      <w:marRight w:val="0"/>
                      <w:marTop w:val="0"/>
                      <w:marBottom w:val="578"/>
                      <w:divBdr>
                        <w:top w:val="none" w:sz="0" w:space="0" w:color="auto"/>
                        <w:left w:val="none" w:sz="0" w:space="0" w:color="auto"/>
                        <w:bottom w:val="none" w:sz="0" w:space="0" w:color="auto"/>
                        <w:right w:val="none" w:sz="0" w:space="0" w:color="auto"/>
                      </w:divBdr>
                      <w:divsChild>
                        <w:div w:id="1080563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877117">
          <w:marLeft w:val="0"/>
          <w:marRight w:val="0"/>
          <w:marTop w:val="0"/>
          <w:marBottom w:val="0"/>
          <w:divBdr>
            <w:top w:val="none" w:sz="0" w:space="0" w:color="auto"/>
            <w:left w:val="none" w:sz="0" w:space="0" w:color="auto"/>
            <w:bottom w:val="none" w:sz="0" w:space="0" w:color="auto"/>
            <w:right w:val="none" w:sz="0" w:space="0" w:color="auto"/>
          </w:divBdr>
          <w:divsChild>
            <w:div w:id="1136491148">
              <w:marLeft w:val="0"/>
              <w:marRight w:val="0"/>
              <w:marTop w:val="100"/>
              <w:marBottom w:val="100"/>
              <w:divBdr>
                <w:top w:val="none" w:sz="0" w:space="0" w:color="auto"/>
                <w:left w:val="none" w:sz="0" w:space="0" w:color="auto"/>
                <w:bottom w:val="none" w:sz="0" w:space="0" w:color="auto"/>
                <w:right w:val="none" w:sz="0" w:space="0" w:color="auto"/>
              </w:divBdr>
              <w:divsChild>
                <w:div w:id="57293132">
                  <w:marLeft w:val="0"/>
                  <w:marRight w:val="0"/>
                  <w:marTop w:val="0"/>
                  <w:marBottom w:val="0"/>
                  <w:divBdr>
                    <w:top w:val="none" w:sz="0" w:space="0" w:color="auto"/>
                    <w:left w:val="none" w:sz="0" w:space="0" w:color="auto"/>
                    <w:bottom w:val="none" w:sz="0" w:space="0" w:color="auto"/>
                    <w:right w:val="none" w:sz="0" w:space="0" w:color="auto"/>
                  </w:divBdr>
                  <w:divsChild>
                    <w:div w:id="1240560860">
                      <w:marLeft w:val="0"/>
                      <w:marRight w:val="0"/>
                      <w:marTop w:val="0"/>
                      <w:marBottom w:val="578"/>
                      <w:divBdr>
                        <w:top w:val="none" w:sz="0" w:space="0" w:color="auto"/>
                        <w:left w:val="none" w:sz="0" w:space="0" w:color="auto"/>
                        <w:bottom w:val="none" w:sz="0" w:space="0" w:color="auto"/>
                        <w:right w:val="none" w:sz="0" w:space="0" w:color="auto"/>
                      </w:divBdr>
                      <w:divsChild>
                        <w:div w:id="2119787906">
                          <w:marLeft w:val="0"/>
                          <w:marRight w:val="0"/>
                          <w:marTop w:val="0"/>
                          <w:marBottom w:val="0"/>
                          <w:divBdr>
                            <w:top w:val="none" w:sz="0" w:space="0" w:color="auto"/>
                            <w:left w:val="none" w:sz="0" w:space="0" w:color="auto"/>
                            <w:bottom w:val="none" w:sz="0" w:space="0" w:color="auto"/>
                            <w:right w:val="none" w:sz="0" w:space="0" w:color="auto"/>
                          </w:divBdr>
                        </w:div>
                      </w:divsChild>
                    </w:div>
                    <w:div w:id="492335319">
                      <w:marLeft w:val="0"/>
                      <w:marRight w:val="0"/>
                      <w:marTop w:val="0"/>
                      <w:marBottom w:val="578"/>
                      <w:divBdr>
                        <w:top w:val="none" w:sz="0" w:space="0" w:color="auto"/>
                        <w:left w:val="none" w:sz="0" w:space="0" w:color="auto"/>
                        <w:bottom w:val="none" w:sz="0" w:space="0" w:color="auto"/>
                        <w:right w:val="none" w:sz="0" w:space="0" w:color="auto"/>
                      </w:divBdr>
                      <w:divsChild>
                        <w:div w:id="1057096556">
                          <w:marLeft w:val="0"/>
                          <w:marRight w:val="0"/>
                          <w:marTop w:val="0"/>
                          <w:marBottom w:val="0"/>
                          <w:divBdr>
                            <w:top w:val="none" w:sz="0" w:space="0" w:color="auto"/>
                            <w:left w:val="none" w:sz="0" w:space="0" w:color="auto"/>
                            <w:bottom w:val="none" w:sz="0" w:space="0" w:color="auto"/>
                            <w:right w:val="none" w:sz="0" w:space="0" w:color="auto"/>
                          </w:divBdr>
                        </w:div>
                        <w:div w:id="35391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8105169">
          <w:marLeft w:val="0"/>
          <w:marRight w:val="0"/>
          <w:marTop w:val="0"/>
          <w:marBottom w:val="0"/>
          <w:divBdr>
            <w:top w:val="none" w:sz="0" w:space="0" w:color="auto"/>
            <w:left w:val="none" w:sz="0" w:space="0" w:color="auto"/>
            <w:bottom w:val="none" w:sz="0" w:space="0" w:color="auto"/>
            <w:right w:val="none" w:sz="0" w:space="0" w:color="auto"/>
          </w:divBdr>
          <w:divsChild>
            <w:div w:id="1899167997">
              <w:marLeft w:val="0"/>
              <w:marRight w:val="0"/>
              <w:marTop w:val="100"/>
              <w:marBottom w:val="100"/>
              <w:divBdr>
                <w:top w:val="none" w:sz="0" w:space="0" w:color="auto"/>
                <w:left w:val="none" w:sz="0" w:space="0" w:color="auto"/>
                <w:bottom w:val="none" w:sz="0" w:space="0" w:color="auto"/>
                <w:right w:val="none" w:sz="0" w:space="0" w:color="auto"/>
              </w:divBdr>
              <w:divsChild>
                <w:div w:id="1195121445">
                  <w:marLeft w:val="0"/>
                  <w:marRight w:val="0"/>
                  <w:marTop w:val="0"/>
                  <w:marBottom w:val="0"/>
                  <w:divBdr>
                    <w:top w:val="none" w:sz="0" w:space="0" w:color="auto"/>
                    <w:left w:val="none" w:sz="0" w:space="0" w:color="auto"/>
                    <w:bottom w:val="none" w:sz="0" w:space="0" w:color="auto"/>
                    <w:right w:val="none" w:sz="0" w:space="0" w:color="auto"/>
                  </w:divBdr>
                  <w:divsChild>
                    <w:div w:id="190609302">
                      <w:marLeft w:val="0"/>
                      <w:marRight w:val="0"/>
                      <w:marTop w:val="0"/>
                      <w:marBottom w:val="578"/>
                      <w:divBdr>
                        <w:top w:val="none" w:sz="0" w:space="0" w:color="auto"/>
                        <w:left w:val="none" w:sz="0" w:space="0" w:color="auto"/>
                        <w:bottom w:val="none" w:sz="0" w:space="0" w:color="auto"/>
                        <w:right w:val="none" w:sz="0" w:space="0" w:color="auto"/>
                      </w:divBdr>
                      <w:divsChild>
                        <w:div w:id="1637560640">
                          <w:marLeft w:val="0"/>
                          <w:marRight w:val="0"/>
                          <w:marTop w:val="0"/>
                          <w:marBottom w:val="0"/>
                          <w:divBdr>
                            <w:top w:val="none" w:sz="0" w:space="0" w:color="auto"/>
                            <w:left w:val="none" w:sz="0" w:space="0" w:color="auto"/>
                            <w:bottom w:val="none" w:sz="0" w:space="0" w:color="auto"/>
                            <w:right w:val="none" w:sz="0" w:space="0" w:color="auto"/>
                          </w:divBdr>
                          <w:divsChild>
                            <w:div w:id="1068386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731931">
                      <w:marLeft w:val="0"/>
                      <w:marRight w:val="0"/>
                      <w:marTop w:val="0"/>
                      <w:marBottom w:val="578"/>
                      <w:divBdr>
                        <w:top w:val="none" w:sz="0" w:space="0" w:color="auto"/>
                        <w:left w:val="none" w:sz="0" w:space="0" w:color="auto"/>
                        <w:bottom w:val="none" w:sz="0" w:space="0" w:color="auto"/>
                        <w:right w:val="none" w:sz="0" w:space="0" w:color="auto"/>
                      </w:divBdr>
                      <w:divsChild>
                        <w:div w:id="141177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301814">
          <w:marLeft w:val="0"/>
          <w:marRight w:val="0"/>
          <w:marTop w:val="0"/>
          <w:marBottom w:val="0"/>
          <w:divBdr>
            <w:top w:val="none" w:sz="0" w:space="0" w:color="auto"/>
            <w:left w:val="none" w:sz="0" w:space="0" w:color="auto"/>
            <w:bottom w:val="none" w:sz="0" w:space="0" w:color="auto"/>
            <w:right w:val="none" w:sz="0" w:space="0" w:color="auto"/>
          </w:divBdr>
          <w:divsChild>
            <w:div w:id="2053922010">
              <w:marLeft w:val="0"/>
              <w:marRight w:val="0"/>
              <w:marTop w:val="100"/>
              <w:marBottom w:val="100"/>
              <w:divBdr>
                <w:top w:val="none" w:sz="0" w:space="0" w:color="auto"/>
                <w:left w:val="none" w:sz="0" w:space="0" w:color="auto"/>
                <w:bottom w:val="none" w:sz="0" w:space="0" w:color="auto"/>
                <w:right w:val="none" w:sz="0" w:space="0" w:color="auto"/>
              </w:divBdr>
              <w:divsChild>
                <w:div w:id="1075929551">
                  <w:marLeft w:val="0"/>
                  <w:marRight w:val="0"/>
                  <w:marTop w:val="0"/>
                  <w:marBottom w:val="0"/>
                  <w:divBdr>
                    <w:top w:val="none" w:sz="0" w:space="0" w:color="auto"/>
                    <w:left w:val="none" w:sz="0" w:space="0" w:color="auto"/>
                    <w:bottom w:val="none" w:sz="0" w:space="0" w:color="auto"/>
                    <w:right w:val="none" w:sz="0" w:space="0" w:color="auto"/>
                  </w:divBdr>
                  <w:divsChild>
                    <w:div w:id="1763792972">
                      <w:marLeft w:val="0"/>
                      <w:marRight w:val="0"/>
                      <w:marTop w:val="0"/>
                      <w:marBottom w:val="578"/>
                      <w:divBdr>
                        <w:top w:val="none" w:sz="0" w:space="0" w:color="auto"/>
                        <w:left w:val="none" w:sz="0" w:space="0" w:color="auto"/>
                        <w:bottom w:val="none" w:sz="0" w:space="0" w:color="auto"/>
                        <w:right w:val="none" w:sz="0" w:space="0" w:color="auto"/>
                      </w:divBdr>
                      <w:divsChild>
                        <w:div w:id="34434645">
                          <w:marLeft w:val="0"/>
                          <w:marRight w:val="0"/>
                          <w:marTop w:val="0"/>
                          <w:marBottom w:val="0"/>
                          <w:divBdr>
                            <w:top w:val="none" w:sz="0" w:space="0" w:color="auto"/>
                            <w:left w:val="none" w:sz="0" w:space="0" w:color="auto"/>
                            <w:bottom w:val="none" w:sz="0" w:space="0" w:color="auto"/>
                            <w:right w:val="none" w:sz="0" w:space="0" w:color="auto"/>
                          </w:divBdr>
                        </w:div>
                        <w:div w:id="1809857166">
                          <w:marLeft w:val="0"/>
                          <w:marRight w:val="0"/>
                          <w:marTop w:val="0"/>
                          <w:marBottom w:val="0"/>
                          <w:divBdr>
                            <w:top w:val="none" w:sz="0" w:space="0" w:color="auto"/>
                            <w:left w:val="none" w:sz="0" w:space="0" w:color="auto"/>
                            <w:bottom w:val="none" w:sz="0" w:space="0" w:color="auto"/>
                            <w:right w:val="none" w:sz="0" w:space="0" w:color="auto"/>
                          </w:divBdr>
                        </w:div>
                      </w:divsChild>
                    </w:div>
                    <w:div w:id="454524845">
                      <w:marLeft w:val="0"/>
                      <w:marRight w:val="0"/>
                      <w:marTop w:val="0"/>
                      <w:marBottom w:val="578"/>
                      <w:divBdr>
                        <w:top w:val="none" w:sz="0" w:space="0" w:color="auto"/>
                        <w:left w:val="none" w:sz="0" w:space="0" w:color="auto"/>
                        <w:bottom w:val="none" w:sz="0" w:space="0" w:color="auto"/>
                        <w:right w:val="none" w:sz="0" w:space="0" w:color="auto"/>
                      </w:divBdr>
                      <w:divsChild>
                        <w:div w:id="1108543603">
                          <w:marLeft w:val="0"/>
                          <w:marRight w:val="0"/>
                          <w:marTop w:val="0"/>
                          <w:marBottom w:val="0"/>
                          <w:divBdr>
                            <w:top w:val="none" w:sz="0" w:space="0" w:color="auto"/>
                            <w:left w:val="none" w:sz="0" w:space="0" w:color="auto"/>
                            <w:bottom w:val="none" w:sz="0" w:space="0" w:color="auto"/>
                            <w:right w:val="none" w:sz="0" w:space="0" w:color="auto"/>
                          </w:divBdr>
                        </w:div>
                      </w:divsChild>
                    </w:div>
                    <w:div w:id="138696123">
                      <w:marLeft w:val="0"/>
                      <w:marRight w:val="0"/>
                      <w:marTop w:val="0"/>
                      <w:marBottom w:val="578"/>
                      <w:divBdr>
                        <w:top w:val="none" w:sz="0" w:space="0" w:color="auto"/>
                        <w:left w:val="none" w:sz="0" w:space="0" w:color="auto"/>
                        <w:bottom w:val="none" w:sz="0" w:space="0" w:color="auto"/>
                        <w:right w:val="none" w:sz="0" w:space="0" w:color="auto"/>
                      </w:divBdr>
                      <w:divsChild>
                        <w:div w:id="981734061">
                          <w:marLeft w:val="0"/>
                          <w:marRight w:val="0"/>
                          <w:marTop w:val="0"/>
                          <w:marBottom w:val="0"/>
                          <w:divBdr>
                            <w:top w:val="none" w:sz="0" w:space="0" w:color="auto"/>
                            <w:left w:val="none" w:sz="0" w:space="0" w:color="auto"/>
                            <w:bottom w:val="none" w:sz="0" w:space="0" w:color="auto"/>
                            <w:right w:val="none" w:sz="0" w:space="0" w:color="auto"/>
                          </w:divBdr>
                        </w:div>
                      </w:divsChild>
                    </w:div>
                    <w:div w:id="363865680">
                      <w:marLeft w:val="0"/>
                      <w:marRight w:val="0"/>
                      <w:marTop w:val="0"/>
                      <w:marBottom w:val="578"/>
                      <w:divBdr>
                        <w:top w:val="none" w:sz="0" w:space="0" w:color="auto"/>
                        <w:left w:val="none" w:sz="0" w:space="0" w:color="auto"/>
                        <w:bottom w:val="none" w:sz="0" w:space="0" w:color="auto"/>
                        <w:right w:val="none" w:sz="0" w:space="0" w:color="auto"/>
                      </w:divBdr>
                    </w:div>
                    <w:div w:id="1477994975">
                      <w:marLeft w:val="0"/>
                      <w:marRight w:val="0"/>
                      <w:marTop w:val="0"/>
                      <w:marBottom w:val="578"/>
                      <w:divBdr>
                        <w:top w:val="none" w:sz="0" w:space="0" w:color="auto"/>
                        <w:left w:val="none" w:sz="0" w:space="0" w:color="auto"/>
                        <w:bottom w:val="none" w:sz="0" w:space="0" w:color="auto"/>
                        <w:right w:val="none" w:sz="0" w:space="0" w:color="auto"/>
                      </w:divBdr>
                      <w:divsChild>
                        <w:div w:id="27089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179343">
          <w:marLeft w:val="0"/>
          <w:marRight w:val="0"/>
          <w:marTop w:val="0"/>
          <w:marBottom w:val="0"/>
          <w:divBdr>
            <w:top w:val="none" w:sz="0" w:space="0" w:color="auto"/>
            <w:left w:val="none" w:sz="0" w:space="0" w:color="auto"/>
            <w:bottom w:val="none" w:sz="0" w:space="0" w:color="auto"/>
            <w:right w:val="none" w:sz="0" w:space="0" w:color="auto"/>
          </w:divBdr>
          <w:divsChild>
            <w:div w:id="1769502385">
              <w:marLeft w:val="0"/>
              <w:marRight w:val="0"/>
              <w:marTop w:val="100"/>
              <w:marBottom w:val="100"/>
              <w:divBdr>
                <w:top w:val="none" w:sz="0" w:space="0" w:color="auto"/>
                <w:left w:val="none" w:sz="0" w:space="0" w:color="auto"/>
                <w:bottom w:val="none" w:sz="0" w:space="0" w:color="auto"/>
                <w:right w:val="none" w:sz="0" w:space="0" w:color="auto"/>
              </w:divBdr>
              <w:divsChild>
                <w:div w:id="555702628">
                  <w:marLeft w:val="0"/>
                  <w:marRight w:val="0"/>
                  <w:marTop w:val="0"/>
                  <w:marBottom w:val="0"/>
                  <w:divBdr>
                    <w:top w:val="none" w:sz="0" w:space="0" w:color="auto"/>
                    <w:left w:val="none" w:sz="0" w:space="0" w:color="auto"/>
                    <w:bottom w:val="none" w:sz="0" w:space="0" w:color="auto"/>
                    <w:right w:val="none" w:sz="0" w:space="0" w:color="auto"/>
                  </w:divBdr>
                  <w:divsChild>
                    <w:div w:id="316305133">
                      <w:marLeft w:val="0"/>
                      <w:marRight w:val="0"/>
                      <w:marTop w:val="0"/>
                      <w:marBottom w:val="578"/>
                      <w:divBdr>
                        <w:top w:val="none" w:sz="0" w:space="0" w:color="auto"/>
                        <w:left w:val="none" w:sz="0" w:space="0" w:color="auto"/>
                        <w:bottom w:val="none" w:sz="0" w:space="0" w:color="auto"/>
                        <w:right w:val="none" w:sz="0" w:space="0" w:color="auto"/>
                      </w:divBdr>
                      <w:divsChild>
                        <w:div w:id="353112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218317780">
      <w:bodyDiv w:val="1"/>
      <w:marLeft w:val="0"/>
      <w:marRight w:val="0"/>
      <w:marTop w:val="0"/>
      <w:marBottom w:val="0"/>
      <w:divBdr>
        <w:top w:val="none" w:sz="0" w:space="0" w:color="auto"/>
        <w:left w:val="none" w:sz="0" w:space="0" w:color="auto"/>
        <w:bottom w:val="none" w:sz="0" w:space="0" w:color="auto"/>
        <w:right w:val="none" w:sz="0" w:space="0" w:color="auto"/>
      </w:divBdr>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4078096">
      <w:bodyDiv w:val="1"/>
      <w:marLeft w:val="0"/>
      <w:marRight w:val="0"/>
      <w:marTop w:val="0"/>
      <w:marBottom w:val="0"/>
      <w:divBdr>
        <w:top w:val="none" w:sz="0" w:space="0" w:color="auto"/>
        <w:left w:val="none" w:sz="0" w:space="0" w:color="auto"/>
        <w:bottom w:val="none" w:sz="0" w:space="0" w:color="auto"/>
        <w:right w:val="none" w:sz="0" w:space="0" w:color="auto"/>
      </w:divBdr>
      <w:divsChild>
        <w:div w:id="1648050494">
          <w:marLeft w:val="0"/>
          <w:marRight w:val="0"/>
          <w:marTop w:val="0"/>
          <w:marBottom w:val="0"/>
          <w:divBdr>
            <w:top w:val="none" w:sz="0" w:space="0" w:color="auto"/>
            <w:left w:val="none" w:sz="0" w:space="0" w:color="auto"/>
            <w:bottom w:val="none" w:sz="0" w:space="0" w:color="auto"/>
            <w:right w:val="none" w:sz="0" w:space="0" w:color="auto"/>
          </w:divBdr>
        </w:div>
        <w:div w:id="2026975355">
          <w:marLeft w:val="0"/>
          <w:marRight w:val="0"/>
          <w:marTop w:val="0"/>
          <w:marBottom w:val="0"/>
          <w:divBdr>
            <w:top w:val="none" w:sz="0" w:space="0" w:color="auto"/>
            <w:left w:val="none" w:sz="0" w:space="0" w:color="auto"/>
            <w:bottom w:val="none" w:sz="0" w:space="0" w:color="auto"/>
            <w:right w:val="none" w:sz="0" w:space="0" w:color="auto"/>
          </w:divBdr>
        </w:div>
      </w:divsChild>
    </w:div>
    <w:div w:id="1988624592">
      <w:bodyDiv w:val="1"/>
      <w:marLeft w:val="0"/>
      <w:marRight w:val="0"/>
      <w:marTop w:val="0"/>
      <w:marBottom w:val="0"/>
      <w:divBdr>
        <w:top w:val="none" w:sz="0" w:space="0" w:color="auto"/>
        <w:left w:val="none" w:sz="0" w:space="0" w:color="auto"/>
        <w:bottom w:val="none" w:sz="0" w:space="0" w:color="auto"/>
        <w:right w:val="none" w:sz="0" w:space="0" w:color="auto"/>
      </w:divBdr>
      <w:divsChild>
        <w:div w:id="841817373">
          <w:marLeft w:val="0"/>
          <w:marRight w:val="0"/>
          <w:marTop w:val="0"/>
          <w:marBottom w:val="0"/>
          <w:divBdr>
            <w:top w:val="none" w:sz="0" w:space="0" w:color="auto"/>
            <w:left w:val="none" w:sz="0" w:space="0" w:color="auto"/>
            <w:bottom w:val="none" w:sz="0" w:space="0" w:color="auto"/>
            <w:right w:val="none" w:sz="0" w:space="0" w:color="auto"/>
          </w:divBdr>
        </w:div>
        <w:div w:id="1791823002">
          <w:marLeft w:val="0"/>
          <w:marRight w:val="0"/>
          <w:marTop w:val="0"/>
          <w:marBottom w:val="0"/>
          <w:divBdr>
            <w:top w:val="none" w:sz="0" w:space="0" w:color="auto"/>
            <w:left w:val="none" w:sz="0" w:space="0" w:color="auto"/>
            <w:bottom w:val="none" w:sz="0" w:space="0" w:color="auto"/>
            <w:right w:val="none" w:sz="0" w:space="0" w:color="auto"/>
          </w:divBdr>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legifrance.gouv.fr/affichCodeArticle.do?idArticle=LEGIARTI000027517723&amp;cidTexte=LEGITEXT000006069577" TargetMode="External"/><Relationship Id="rId18" Type="http://schemas.openxmlformats.org/officeDocument/2006/relationships/hyperlink" Target="https://www.service-public.fr/particuliers/vosdroits/F59"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abonnes.efl.fr/EFL2/convert/id/?id=TOUR001486" TargetMode="External"/><Relationship Id="rId7" Type="http://schemas.openxmlformats.org/officeDocument/2006/relationships/webSettings" Target="webSettings.xml"/><Relationship Id="rId12" Type="http://schemas.openxmlformats.org/officeDocument/2006/relationships/hyperlink" Target="https://www.legifrance.gouv.fr/affichCodeArticle.do?idArticle=LEGIARTI000027517723&amp;cidTexte=LEGITEXT000006069577" TargetMode="External"/><Relationship Id="rId17" Type="http://schemas.openxmlformats.org/officeDocument/2006/relationships/image" Target="media/image1.png"/><Relationship Id="rId25" Type="http://schemas.openxmlformats.org/officeDocument/2006/relationships/hyperlink" Target="https://www.legifrance.gouv.fr/jorf/article_jo/JORFARTI000044637725" TargetMode="External"/><Relationship Id="rId2" Type="http://schemas.openxmlformats.org/officeDocument/2006/relationships/customXml" Target="../customXml/item2.xml"/><Relationship Id="rId16" Type="http://schemas.openxmlformats.org/officeDocument/2006/relationships/hyperlink" Target="https://www.service-public.fr/particuliers/glossaire/R10833" TargetMode="External"/><Relationship Id="rId20" Type="http://schemas.openxmlformats.org/officeDocument/2006/relationships/hyperlink" Target="http://www.impots.gouv.fr/"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capital.fr/votre-argent/taxe-fonciere-non-bati-1317835" TargetMode="External"/><Relationship Id="rId24" Type="http://schemas.openxmlformats.org/officeDocument/2006/relationships/hyperlink" Target="https://www.service-public.fr/professionnels-entreprises/vosdroits/R19525" TargetMode="External"/><Relationship Id="rId5" Type="http://schemas.openxmlformats.org/officeDocument/2006/relationships/styles" Target="styles.xml"/><Relationship Id="rId15" Type="http://schemas.openxmlformats.org/officeDocument/2006/relationships/hyperlink" Target="https://www.legifrance.gouv.fr/affichCodeArticle.do?idArticle=LEGIARTI000027517723&amp;cidTexte=LEGITEXT000006069577" TargetMode="External"/><Relationship Id="rId23" Type="http://schemas.openxmlformats.org/officeDocument/2006/relationships/hyperlink" Target="https://abonnes.efl.fr/EFL2/convert/id/?id=AD8C86D75C392E94-EFL" TargetMode="External"/><Relationship Id="rId28" Type="http://schemas.openxmlformats.org/officeDocument/2006/relationships/fontTable" Target="fontTable.xml"/><Relationship Id="rId10" Type="http://schemas.openxmlformats.org/officeDocument/2006/relationships/hyperlink" Target="https://www.capital.fr/votre-argent/taxe-fonciere-sur-les-proprietes-baties-1348047" TargetMode="External"/><Relationship Id="rId19" Type="http://schemas.openxmlformats.org/officeDocument/2006/relationships/hyperlink" Target="https://www.service-public.fr/particuliers/vosdroits/F59"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legifrance.gouv.fr/affichCodeArticle.do;jsessionid=BA72A99F72416392FF7C6B808C17AF24.tplgfr39s_1?idArticle=LEGIARTI000036426234&amp;cidTexte=LEGITEXT000006069577&amp;categorieLien=id&amp;dateTexte=20170802" TargetMode="External"/><Relationship Id="rId22" Type="http://schemas.openxmlformats.org/officeDocument/2006/relationships/hyperlink" Target="https://abonnes.efl.fr/EFL2/convert/id/?id=TOUR001502" TargetMode="External"/><Relationship Id="rId27" Type="http://schemas.openxmlformats.org/officeDocument/2006/relationships/footer" Target="footer1.xml"/><Relationship Id="rId30"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ateetheure xmlns="b079812a-7967-4ed2-9291-1c797a51b449" xsi:nil="true"/>
    <TaxCatchAll xmlns="427b065b-dfa1-44b2-8977-c4f8c74eb7ce" xsi:nil="true"/>
    <lcf76f155ced4ddcb4097134ff3c332f xmlns="b079812a-7967-4ed2-9291-1c797a51b44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2.xml><?xml version="1.0" encoding="utf-8"?>
<ds:datastoreItem xmlns:ds="http://schemas.openxmlformats.org/officeDocument/2006/customXml" ds:itemID="{DF2A0ACB-E413-44DB-BA37-86AD71DBA84F}"/>
</file>

<file path=customXml/itemProps3.xml><?xml version="1.0" encoding="utf-8"?>
<ds:datastoreItem xmlns:ds="http://schemas.openxmlformats.org/officeDocument/2006/customXml" ds:itemID="{ED602BC9-E35B-465C-B86C-25E3376822AF}">
  <ds:schemaRefs>
    <ds:schemaRef ds:uri="http://schemas.microsoft.com/sharepoint/v3/contenttype/forms"/>
  </ds:schemaRefs>
</ds:datastoreItem>
</file>

<file path=customXml/itemProps4.xml><?xml version="1.0" encoding="utf-8"?>
<ds:datastoreItem xmlns:ds="http://schemas.openxmlformats.org/officeDocument/2006/customXml" ds:itemID="{20D4BCFA-E265-4FD9-A653-3231890B21AD}"/>
</file>

<file path=docProps/app.xml><?xml version="1.0" encoding="utf-8"?>
<Properties xmlns="http://schemas.openxmlformats.org/officeDocument/2006/extended-properties" xmlns:vt="http://schemas.openxmlformats.org/officeDocument/2006/docPropsVTypes">
  <Template>Normal.dotm</Template>
  <TotalTime>5</TotalTime>
  <Pages>31</Pages>
  <Words>7424</Words>
  <Characters>40832</Characters>
  <Application>Microsoft Office Word</Application>
  <DocSecurity>0</DocSecurity>
  <Lines>340</Lines>
  <Paragraphs>96</Paragraphs>
  <ScaleCrop>false</ScaleCrop>
  <HeadingPairs>
    <vt:vector size="2" baseType="variant">
      <vt:variant>
        <vt:lpstr>Titre</vt:lpstr>
      </vt:variant>
      <vt:variant>
        <vt:i4>1</vt:i4>
      </vt:variant>
    </vt:vector>
  </HeadingPairs>
  <TitlesOfParts>
    <vt:vector size="1" baseType="lpstr">
      <vt:lpstr>Chapitre 2</vt:lpstr>
    </vt:vector>
  </TitlesOfParts>
  <Company>CGPC - membre FPSB</Company>
  <LinksUpToDate>false</LinksUpToDate>
  <CharactersWithSpaces>48160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2 : la fiscalité de l’investissement immobilier locatif</dc:title>
  <dc:subject>La fiscalité de l'investissement immobilier locatif</dc:subject>
  <dc:creator>Renaud Duval</dc:creator>
  <cp:keywords/>
  <dc:description/>
  <cp:lastModifiedBy>Raymond Leban</cp:lastModifiedBy>
  <cp:revision>57</cp:revision>
  <cp:lastPrinted>2024-02-07T13:42:00Z</cp:lastPrinted>
  <dcterms:created xsi:type="dcterms:W3CDTF">2025-04-21T16:42:00Z</dcterms:created>
  <dcterms:modified xsi:type="dcterms:W3CDTF">2026-07-16T12:12:00Z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